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5352"/>
        <w:gridCol w:w="5353"/>
      </w:tblGrid>
      <w:tr w:rsidR="00441817" w:rsidRPr="00441817" w:rsidTr="00441817">
        <w:tc>
          <w:tcPr>
            <w:tcW w:w="5352" w:type="dxa"/>
            <w:vAlign w:val="center"/>
          </w:tcPr>
          <w:p w:rsidR="00441817" w:rsidRPr="00441817" w:rsidRDefault="00441817" w:rsidP="00441817">
            <w:pPr>
              <w:jc w:val="center"/>
              <w:rPr>
                <w:rFonts w:ascii="Times New Roman" w:hAnsi="Times New Roman" w:cs="Times New Roman"/>
              </w:rPr>
            </w:pPr>
            <w:r>
              <w:rPr>
                <w:rFonts w:ascii="Times New Roman" w:hAnsi="Times New Roman" w:cs="Times New Roman"/>
              </w:rPr>
              <w:t>Текст на английском</w:t>
            </w:r>
          </w:p>
        </w:tc>
        <w:tc>
          <w:tcPr>
            <w:tcW w:w="5353" w:type="dxa"/>
            <w:vAlign w:val="center"/>
          </w:tcPr>
          <w:p w:rsidR="00441817" w:rsidRPr="00441817" w:rsidRDefault="00441817" w:rsidP="00441817">
            <w:pPr>
              <w:jc w:val="center"/>
              <w:rPr>
                <w:rFonts w:ascii="Times New Roman" w:hAnsi="Times New Roman" w:cs="Times New Roman"/>
              </w:rPr>
            </w:pPr>
            <w:r>
              <w:rPr>
                <w:rFonts w:ascii="Times New Roman" w:hAnsi="Times New Roman" w:cs="Times New Roman"/>
              </w:rPr>
              <w:t>Текст на русском</w:t>
            </w:r>
          </w:p>
        </w:tc>
      </w:tr>
      <w:tr w:rsidR="00441817" w:rsidRPr="00441817" w:rsidTr="00441817">
        <w:tc>
          <w:tcPr>
            <w:tcW w:w="5352" w:type="dxa"/>
          </w:tcPr>
          <w:p w:rsidR="00441817" w:rsidRPr="00441817" w:rsidRDefault="00441817" w:rsidP="00441817">
            <w:pPr>
              <w:rPr>
                <w:rFonts w:ascii="Times New Roman" w:hAnsi="Times New Roman" w:cs="Times New Roman"/>
                <w:lang w:val="en-US"/>
              </w:rPr>
            </w:pPr>
            <w:r w:rsidRPr="00441817">
              <w:rPr>
                <w:rFonts w:ascii="Times New Roman" w:hAnsi="Times New Roman" w:cs="Times New Roman"/>
                <w:lang w:val="en-US"/>
              </w:rPr>
              <w:t>Applications</w:t>
            </w:r>
          </w:p>
          <w:p w:rsidR="00441817" w:rsidRPr="00441817" w:rsidRDefault="00441817" w:rsidP="00441817">
            <w:pPr>
              <w:pStyle w:val="a4"/>
              <w:numPr>
                <w:ilvl w:val="0"/>
                <w:numId w:val="2"/>
              </w:numPr>
              <w:rPr>
                <w:rFonts w:ascii="Times New Roman" w:hAnsi="Times New Roman" w:cs="Times New Roman"/>
                <w:lang w:val="en-US"/>
              </w:rPr>
            </w:pPr>
            <w:r w:rsidRPr="00441817">
              <w:rPr>
                <w:rFonts w:ascii="Times New Roman" w:hAnsi="Times New Roman" w:cs="Times New Roman"/>
                <w:lang w:val="en-US"/>
              </w:rPr>
              <w:t>Control of carry-over contamination in PCR (2).</w:t>
            </w:r>
          </w:p>
          <w:p w:rsidR="00441817" w:rsidRPr="00441817" w:rsidRDefault="00441817" w:rsidP="00441817">
            <w:pPr>
              <w:pStyle w:val="a4"/>
              <w:numPr>
                <w:ilvl w:val="0"/>
                <w:numId w:val="2"/>
              </w:numPr>
              <w:rPr>
                <w:rFonts w:ascii="Times New Roman" w:hAnsi="Times New Roman" w:cs="Times New Roman"/>
                <w:lang w:val="en-US"/>
              </w:rPr>
            </w:pPr>
            <w:proofErr w:type="spellStart"/>
            <w:r w:rsidRPr="00441817">
              <w:rPr>
                <w:rFonts w:ascii="Times New Roman" w:hAnsi="Times New Roman" w:cs="Times New Roman"/>
                <w:lang w:val="en-US"/>
              </w:rPr>
              <w:t>Glycosylase</w:t>
            </w:r>
            <w:proofErr w:type="spellEnd"/>
            <w:r w:rsidRPr="00441817">
              <w:rPr>
                <w:rFonts w:ascii="Times New Roman" w:hAnsi="Times New Roman" w:cs="Times New Roman"/>
                <w:lang w:val="en-US"/>
              </w:rPr>
              <w:t xml:space="preserve"> mediated single nucleotide polymorphism detection (GMPD) (3).</w:t>
            </w:r>
          </w:p>
          <w:p w:rsidR="00441817" w:rsidRPr="00441817" w:rsidRDefault="00441817" w:rsidP="00441817">
            <w:pPr>
              <w:pStyle w:val="a4"/>
              <w:numPr>
                <w:ilvl w:val="0"/>
                <w:numId w:val="2"/>
              </w:numPr>
              <w:rPr>
                <w:rFonts w:ascii="Times New Roman" w:hAnsi="Times New Roman" w:cs="Times New Roman"/>
                <w:lang w:val="en-US"/>
              </w:rPr>
            </w:pPr>
            <w:r w:rsidRPr="00441817">
              <w:rPr>
                <w:rFonts w:ascii="Times New Roman" w:hAnsi="Times New Roman" w:cs="Times New Roman"/>
                <w:lang w:val="en-US"/>
              </w:rPr>
              <w:t>Site-directed mutagenesis (4).</w:t>
            </w:r>
          </w:p>
          <w:p w:rsidR="00441817" w:rsidRPr="00441817" w:rsidRDefault="00441817" w:rsidP="00441817">
            <w:pPr>
              <w:pStyle w:val="a4"/>
              <w:numPr>
                <w:ilvl w:val="0"/>
                <w:numId w:val="2"/>
              </w:numPr>
              <w:rPr>
                <w:rFonts w:ascii="Times New Roman" w:hAnsi="Times New Roman" w:cs="Times New Roman"/>
                <w:lang w:val="en-US"/>
              </w:rPr>
            </w:pPr>
            <w:r w:rsidRPr="00441817">
              <w:rPr>
                <w:rFonts w:ascii="Times New Roman" w:hAnsi="Times New Roman" w:cs="Times New Roman"/>
                <w:lang w:val="en-US"/>
              </w:rPr>
              <w:t>As a probe for protein-DNA interaction studies (5).</w:t>
            </w:r>
          </w:p>
          <w:p w:rsidR="00441817" w:rsidRPr="00441817" w:rsidRDefault="00441817" w:rsidP="00441817">
            <w:pPr>
              <w:pStyle w:val="a4"/>
              <w:numPr>
                <w:ilvl w:val="0"/>
                <w:numId w:val="2"/>
              </w:numPr>
              <w:rPr>
                <w:rFonts w:ascii="Times New Roman" w:hAnsi="Times New Roman" w:cs="Times New Roman"/>
                <w:lang w:val="en-US"/>
              </w:rPr>
            </w:pPr>
            <w:r w:rsidRPr="00441817">
              <w:rPr>
                <w:rFonts w:ascii="Times New Roman" w:hAnsi="Times New Roman" w:cs="Times New Roman"/>
                <w:lang w:val="en-US"/>
              </w:rPr>
              <w:t>SNP genotyping.</w:t>
            </w:r>
          </w:p>
          <w:p w:rsidR="00441817" w:rsidRPr="00441817" w:rsidRDefault="00441817" w:rsidP="00441817">
            <w:pPr>
              <w:pStyle w:val="a4"/>
              <w:numPr>
                <w:ilvl w:val="0"/>
                <w:numId w:val="2"/>
              </w:numPr>
              <w:rPr>
                <w:rFonts w:ascii="Times New Roman" w:hAnsi="Times New Roman" w:cs="Times New Roman"/>
                <w:lang w:val="en-US"/>
              </w:rPr>
            </w:pPr>
            <w:r w:rsidRPr="00441817">
              <w:rPr>
                <w:rFonts w:ascii="Times New Roman" w:hAnsi="Times New Roman" w:cs="Times New Roman"/>
                <w:lang w:val="en-US"/>
              </w:rPr>
              <w:t>Cloning of PCR products (6).</w:t>
            </w:r>
          </w:p>
          <w:p w:rsidR="00441817" w:rsidRPr="00441817" w:rsidRDefault="00441817" w:rsidP="00441817">
            <w:pPr>
              <w:pStyle w:val="a4"/>
              <w:numPr>
                <w:ilvl w:val="0"/>
                <w:numId w:val="2"/>
              </w:numPr>
              <w:rPr>
                <w:rFonts w:ascii="Times New Roman" w:hAnsi="Times New Roman" w:cs="Times New Roman"/>
              </w:rPr>
            </w:pPr>
            <w:r w:rsidRPr="00441817">
              <w:rPr>
                <w:rFonts w:ascii="Times New Roman" w:hAnsi="Times New Roman" w:cs="Times New Roman"/>
                <w:lang w:val="en-US"/>
              </w:rPr>
              <w:t xml:space="preserve">Generation of single strand overhangs of PCR products and </w:t>
            </w:r>
            <w:proofErr w:type="spellStart"/>
            <w:r w:rsidRPr="00441817">
              <w:rPr>
                <w:rFonts w:ascii="Times New Roman" w:hAnsi="Times New Roman" w:cs="Times New Roman"/>
                <w:lang w:val="en-US"/>
              </w:rPr>
              <w:t>cDNA</w:t>
            </w:r>
            <w:proofErr w:type="spellEnd"/>
            <w:r w:rsidRPr="00441817">
              <w:rPr>
                <w:rFonts w:ascii="Times New Roman" w:hAnsi="Times New Roman" w:cs="Times New Roman"/>
                <w:lang w:val="en-US"/>
              </w:rPr>
              <w:t>.</w:t>
            </w:r>
          </w:p>
        </w:tc>
        <w:tc>
          <w:tcPr>
            <w:tcW w:w="5353" w:type="dxa"/>
          </w:tcPr>
          <w:p w:rsidR="00441817" w:rsidRPr="00441817" w:rsidRDefault="00441817" w:rsidP="00C67FF0">
            <w:pPr>
              <w:pStyle w:val="a4"/>
              <w:ind w:left="461"/>
              <w:rPr>
                <w:rFonts w:ascii="Times New Roman" w:hAnsi="Times New Roman" w:cs="Times New Roman"/>
              </w:rPr>
            </w:pPr>
          </w:p>
        </w:tc>
      </w:tr>
      <w:tr w:rsidR="00441817" w:rsidRPr="00441817" w:rsidTr="00441817">
        <w:tc>
          <w:tcPr>
            <w:tcW w:w="5352" w:type="dxa"/>
          </w:tcPr>
          <w:p w:rsidR="005E2758" w:rsidRPr="005F403A" w:rsidRDefault="005E2758" w:rsidP="004B13E0">
            <w:pPr>
              <w:rPr>
                <w:rFonts w:ascii="Times New Roman" w:hAnsi="Times New Roman" w:cs="Times New Roman"/>
                <w:lang w:val="en-US"/>
              </w:rPr>
            </w:pPr>
            <w:r w:rsidRPr="005F403A">
              <w:rPr>
                <w:rFonts w:ascii="Times New Roman" w:hAnsi="Times New Roman" w:cs="Times New Roman"/>
                <w:lang w:val="en-US"/>
              </w:rPr>
              <w:t>At the heart of the hydraulic excavator is the new “Common Rail” DOOSAN</w:t>
            </w:r>
            <w:r w:rsidR="004B13E0" w:rsidRPr="005F403A">
              <w:rPr>
                <w:rFonts w:ascii="Times New Roman" w:hAnsi="Times New Roman" w:cs="Times New Roman"/>
                <w:lang w:val="en-US"/>
              </w:rPr>
              <w:t xml:space="preserve"> </w:t>
            </w:r>
            <w:r w:rsidRPr="005F403A">
              <w:rPr>
                <w:rFonts w:ascii="Times New Roman" w:hAnsi="Times New Roman" w:cs="Times New Roman"/>
                <w:lang w:val="en-US"/>
              </w:rPr>
              <w:t>DL06 engine. It is combined with the new e-EPOS electronic control system,</w:t>
            </w:r>
            <w:r w:rsidR="004B13E0" w:rsidRPr="005F403A">
              <w:rPr>
                <w:rFonts w:ascii="Times New Roman" w:hAnsi="Times New Roman" w:cs="Times New Roman"/>
                <w:lang w:val="en-US"/>
              </w:rPr>
              <w:t xml:space="preserve"> </w:t>
            </w:r>
            <w:r w:rsidRPr="005F403A">
              <w:rPr>
                <w:rFonts w:ascii="Times New Roman" w:hAnsi="Times New Roman" w:cs="Times New Roman"/>
                <w:lang w:val="en-US"/>
              </w:rPr>
              <w:t>for optimum power and fuel saving.</w:t>
            </w:r>
          </w:p>
          <w:p w:rsidR="005E2758" w:rsidRPr="005F403A" w:rsidRDefault="005E2758" w:rsidP="004B13E0">
            <w:pPr>
              <w:rPr>
                <w:rFonts w:ascii="Times New Roman" w:hAnsi="Times New Roman" w:cs="Times New Roman"/>
                <w:lang w:val="en-US"/>
              </w:rPr>
            </w:pPr>
            <w:r w:rsidRPr="005F403A">
              <w:rPr>
                <w:rFonts w:ascii="Times New Roman" w:hAnsi="Times New Roman" w:cs="Times New Roman"/>
                <w:lang w:val="en-US"/>
              </w:rPr>
              <w:t xml:space="preserve">The new engine produces 118 </w:t>
            </w:r>
            <w:proofErr w:type="spellStart"/>
            <w:proofErr w:type="gramStart"/>
            <w:r w:rsidRPr="005F403A">
              <w:rPr>
                <w:rFonts w:ascii="Times New Roman" w:hAnsi="Times New Roman" w:cs="Times New Roman"/>
                <w:lang w:val="en-US"/>
              </w:rPr>
              <w:t>hp</w:t>
            </w:r>
            <w:proofErr w:type="spellEnd"/>
            <w:r w:rsidRPr="005F403A">
              <w:rPr>
                <w:rFonts w:ascii="Times New Roman" w:hAnsi="Times New Roman" w:cs="Times New Roman"/>
                <w:lang w:val="en-US"/>
              </w:rPr>
              <w:t>(</w:t>
            </w:r>
            <w:proofErr w:type="gramEnd"/>
            <w:r w:rsidRPr="005F403A">
              <w:rPr>
                <w:rFonts w:ascii="Times New Roman" w:hAnsi="Times New Roman" w:cs="Times New Roman"/>
                <w:lang w:val="en-US"/>
              </w:rPr>
              <w:t>88 kw/120 PS) at only 1,950 rpm, and</w:t>
            </w:r>
            <w:r w:rsidR="004B13E0" w:rsidRPr="005F403A">
              <w:rPr>
                <w:rFonts w:ascii="Times New Roman" w:hAnsi="Times New Roman" w:cs="Times New Roman"/>
                <w:lang w:val="en-US"/>
              </w:rPr>
              <w:t xml:space="preserve"> </w:t>
            </w:r>
            <w:r w:rsidRPr="005F403A">
              <w:rPr>
                <w:rFonts w:ascii="Times New Roman" w:hAnsi="Times New Roman" w:cs="Times New Roman"/>
                <w:lang w:val="en-US"/>
              </w:rPr>
              <w:t xml:space="preserve">more torque, due to its careful design combined with the </w:t>
            </w:r>
            <w:proofErr w:type="spellStart"/>
            <w:r w:rsidRPr="005F403A">
              <w:rPr>
                <w:rFonts w:ascii="Times New Roman" w:hAnsi="Times New Roman" w:cs="Times New Roman"/>
                <w:lang w:val="en-US"/>
              </w:rPr>
              <w:t>ues</w:t>
            </w:r>
            <w:proofErr w:type="spellEnd"/>
            <w:r w:rsidRPr="005F403A">
              <w:rPr>
                <w:rFonts w:ascii="Times New Roman" w:hAnsi="Times New Roman" w:cs="Times New Roman"/>
                <w:lang w:val="en-US"/>
              </w:rPr>
              <w:t xml:space="preserve"> of common</w:t>
            </w:r>
            <w:r w:rsidR="004B13E0" w:rsidRPr="005F403A">
              <w:rPr>
                <w:rFonts w:ascii="Times New Roman" w:hAnsi="Times New Roman" w:cs="Times New Roman"/>
                <w:lang w:val="en-US"/>
              </w:rPr>
              <w:t xml:space="preserve"> </w:t>
            </w:r>
            <w:r w:rsidRPr="005F403A">
              <w:rPr>
                <w:rFonts w:ascii="Times New Roman" w:hAnsi="Times New Roman" w:cs="Times New Roman"/>
                <w:lang w:val="en-US"/>
              </w:rPr>
              <w:t>rail injection and 4 valves per cylinder. These features help optimize</w:t>
            </w:r>
            <w:r w:rsidR="004B13E0" w:rsidRPr="005F403A">
              <w:rPr>
                <w:rFonts w:ascii="Times New Roman" w:hAnsi="Times New Roman" w:cs="Times New Roman"/>
                <w:lang w:val="en-US"/>
              </w:rPr>
              <w:t xml:space="preserve"> </w:t>
            </w:r>
            <w:r w:rsidRPr="005F403A">
              <w:rPr>
                <w:rFonts w:ascii="Times New Roman" w:hAnsi="Times New Roman" w:cs="Times New Roman"/>
                <w:lang w:val="en-US"/>
              </w:rPr>
              <w:t xml:space="preserve">combustion and minimize pollution through reduced </w:t>
            </w:r>
            <w:proofErr w:type="spellStart"/>
            <w:r w:rsidRPr="005F403A">
              <w:rPr>
                <w:rFonts w:ascii="Times New Roman" w:hAnsi="Times New Roman" w:cs="Times New Roman"/>
                <w:lang w:val="en-US"/>
              </w:rPr>
              <w:t>Nox</w:t>
            </w:r>
            <w:proofErr w:type="spellEnd"/>
            <w:r w:rsidRPr="005F403A">
              <w:rPr>
                <w:rFonts w:ascii="Times New Roman" w:hAnsi="Times New Roman" w:cs="Times New Roman"/>
                <w:lang w:val="en-US"/>
              </w:rPr>
              <w:t xml:space="preserve"> &amp; particulate</w:t>
            </w:r>
            <w:r w:rsidR="004B13E0" w:rsidRPr="005F403A">
              <w:rPr>
                <w:rFonts w:ascii="Times New Roman" w:hAnsi="Times New Roman" w:cs="Times New Roman"/>
                <w:lang w:val="en-US"/>
              </w:rPr>
              <w:t xml:space="preserve"> </w:t>
            </w:r>
            <w:r w:rsidRPr="005F403A">
              <w:rPr>
                <w:rFonts w:ascii="Times New Roman" w:hAnsi="Times New Roman" w:cs="Times New Roman"/>
                <w:lang w:val="en-US"/>
              </w:rPr>
              <w:t>emissions.</w:t>
            </w:r>
          </w:p>
          <w:p w:rsidR="005E2758" w:rsidRPr="005F403A" w:rsidRDefault="005E2758" w:rsidP="005E2758">
            <w:pPr>
              <w:rPr>
                <w:rFonts w:ascii="Times New Roman" w:hAnsi="Times New Roman" w:cs="Times New Roman"/>
                <w:lang w:val="en-US"/>
              </w:rPr>
            </w:pPr>
            <w:r w:rsidRPr="005F403A">
              <w:rPr>
                <w:rFonts w:ascii="Times New Roman" w:hAnsi="Times New Roman" w:cs="Times New Roman"/>
                <w:lang w:val="en-US"/>
              </w:rPr>
              <w:t>Increased torque allows efficient use of the power of the hydraulic system.</w:t>
            </w:r>
          </w:p>
          <w:p w:rsidR="005E2758" w:rsidRPr="005F403A" w:rsidRDefault="005E2758" w:rsidP="005E2758">
            <w:pPr>
              <w:rPr>
                <w:rFonts w:ascii="Times New Roman" w:hAnsi="Times New Roman" w:cs="Times New Roman"/>
                <w:lang w:val="en-US"/>
              </w:rPr>
            </w:pPr>
            <w:r w:rsidRPr="005F403A">
              <w:rPr>
                <w:rFonts w:ascii="Times New Roman" w:hAnsi="Times New Roman" w:cs="Times New Roman"/>
                <w:lang w:val="en-US"/>
              </w:rPr>
              <w:t>• Faster working cycles increase productivity.</w:t>
            </w:r>
          </w:p>
          <w:p w:rsidR="005E2758" w:rsidRPr="005F403A" w:rsidRDefault="005E2758" w:rsidP="005E2758">
            <w:pPr>
              <w:rPr>
                <w:rFonts w:ascii="Times New Roman" w:hAnsi="Times New Roman" w:cs="Times New Roman"/>
                <w:lang w:val="en-US"/>
              </w:rPr>
            </w:pPr>
            <w:r w:rsidRPr="005F403A">
              <w:rPr>
                <w:rFonts w:ascii="Times New Roman" w:hAnsi="Times New Roman" w:cs="Times New Roman"/>
                <w:lang w:val="en-US"/>
              </w:rPr>
              <w:t>• Increased torque means the excavator is able to move more easily.</w:t>
            </w:r>
          </w:p>
          <w:p w:rsidR="00441817" w:rsidRPr="005F403A" w:rsidRDefault="005E2758" w:rsidP="005E2758">
            <w:pPr>
              <w:rPr>
                <w:rFonts w:ascii="Times New Roman" w:hAnsi="Times New Roman" w:cs="Times New Roman"/>
                <w:lang w:val="en-US"/>
              </w:rPr>
            </w:pPr>
            <w:r w:rsidRPr="005F403A">
              <w:rPr>
                <w:rFonts w:ascii="Times New Roman" w:hAnsi="Times New Roman" w:cs="Times New Roman"/>
                <w:lang w:val="en-US"/>
              </w:rPr>
              <w:t>• Energy efficiency reduces fuel consumption.</w:t>
            </w:r>
          </w:p>
        </w:tc>
        <w:tc>
          <w:tcPr>
            <w:tcW w:w="5353" w:type="dxa"/>
          </w:tcPr>
          <w:p w:rsidR="004B13E0" w:rsidRPr="00441817" w:rsidRDefault="004B13E0" w:rsidP="004B13E0">
            <w:pPr>
              <w:rPr>
                <w:rFonts w:ascii="Times New Roman" w:hAnsi="Times New Roman" w:cs="Times New Roman"/>
              </w:rPr>
            </w:pPr>
          </w:p>
        </w:tc>
      </w:tr>
      <w:tr w:rsidR="004B13E0" w:rsidRPr="00441817" w:rsidTr="00441817">
        <w:tc>
          <w:tcPr>
            <w:tcW w:w="5352" w:type="dxa"/>
          </w:tcPr>
          <w:p w:rsidR="00B325ED" w:rsidRPr="005F403A" w:rsidRDefault="00B325ED" w:rsidP="004B13E0">
            <w:pPr>
              <w:rPr>
                <w:rFonts w:ascii="Times New Roman" w:hAnsi="Times New Roman" w:cs="Times New Roman"/>
                <w:lang w:val="en-US"/>
              </w:rPr>
            </w:pPr>
            <w:r w:rsidRPr="005F403A">
              <w:rPr>
                <w:rFonts w:ascii="Times New Roman" w:hAnsi="Times New Roman" w:cs="Times New Roman"/>
                <w:lang w:val="en-US"/>
              </w:rPr>
              <w:t>If you are unable to go on your trip</w:t>
            </w:r>
          </w:p>
          <w:p w:rsidR="004B13E0" w:rsidRPr="005F403A" w:rsidRDefault="00B325ED" w:rsidP="004B13E0">
            <w:pPr>
              <w:rPr>
                <w:rFonts w:ascii="Times New Roman" w:hAnsi="Times New Roman" w:cs="Times New Roman"/>
                <w:lang w:val="en-US"/>
              </w:rPr>
            </w:pPr>
            <w:r w:rsidRPr="005F403A">
              <w:rPr>
                <w:rFonts w:ascii="Times New Roman" w:hAnsi="Times New Roman" w:cs="Times New Roman"/>
                <w:lang w:val="en-US"/>
              </w:rPr>
              <w:t xml:space="preserve"> Cover for your proportion of prepaid transport, accommodation &amp; additional travel expenses, and pre-paid excursions booked before you go on your trip, that you cannot recover from any other source if you cannot travel due to your, a close relative, the person you are intending to stay with, or a business associate’s death, injury or illness, redundancy, required as a witness or member of the jury in a court of law, or the requirements of H.M. Forces (Course charges or tuition fees are not included).</w:t>
            </w:r>
          </w:p>
        </w:tc>
        <w:tc>
          <w:tcPr>
            <w:tcW w:w="5353" w:type="dxa"/>
          </w:tcPr>
          <w:p w:rsidR="004B13E0" w:rsidRPr="004B13E0" w:rsidRDefault="004B13E0" w:rsidP="005F403A">
            <w:pPr>
              <w:rPr>
                <w:rFonts w:ascii="Times New Roman" w:hAnsi="Times New Roman" w:cs="Times New Roman"/>
                <w:sz w:val="20"/>
                <w:szCs w:val="20"/>
              </w:rPr>
            </w:pPr>
          </w:p>
        </w:tc>
      </w:tr>
      <w:tr w:rsidR="002A2924" w:rsidRPr="00441817" w:rsidTr="00441817">
        <w:tc>
          <w:tcPr>
            <w:tcW w:w="5352" w:type="dxa"/>
          </w:tcPr>
          <w:p w:rsidR="00EC2ADE" w:rsidRPr="00EC2ADE" w:rsidRDefault="00EC2ADE" w:rsidP="00EC2ADE">
            <w:pPr>
              <w:numPr>
                <w:ilvl w:val="0"/>
                <w:numId w:val="3"/>
              </w:numPr>
              <w:rPr>
                <w:rFonts w:ascii="Times New Roman" w:hAnsi="Times New Roman" w:cs="Times New Roman"/>
                <w:lang w:val="en-US"/>
              </w:rPr>
            </w:pPr>
            <w:r w:rsidRPr="00EC2ADE">
              <w:rPr>
                <w:rFonts w:ascii="Times New Roman" w:hAnsi="Times New Roman" w:cs="Times New Roman"/>
                <w:lang w:val="en-US"/>
              </w:rPr>
              <w:t>The powers granted above shall not include the following powers or shall be modified or limited in the following particulars (here you may include any specific limitations you deem appropriate, such as a prohibition or conditions on the sale of particular stock or real estate or special rules on borrowing by the agent): This Power of Attorney is limited to my property and assets, located in Belarus.</w:t>
            </w:r>
          </w:p>
          <w:p w:rsidR="00EC2ADE" w:rsidRPr="00EC2ADE" w:rsidRDefault="00EC2ADE" w:rsidP="00EC2ADE">
            <w:pPr>
              <w:numPr>
                <w:ilvl w:val="0"/>
                <w:numId w:val="4"/>
              </w:numPr>
              <w:rPr>
                <w:rFonts w:ascii="Times New Roman" w:hAnsi="Times New Roman" w:cs="Times New Roman"/>
                <w:lang w:val="en-US"/>
              </w:rPr>
            </w:pPr>
            <w:r w:rsidRPr="00EC2ADE">
              <w:rPr>
                <w:rFonts w:ascii="Times New Roman" w:hAnsi="Times New Roman" w:cs="Times New Roman"/>
                <w:lang w:val="en-US"/>
              </w:rPr>
              <w:t>In addition to the powers granted above, I grant my agent the following powers (here you may add any other delegable powers including, without limitation, power to make gifts, exercise powers of appointment, name or change beneficiaries or joint tenant</w:t>
            </w:r>
            <w:bookmarkStart w:id="0" w:name="_GoBack"/>
            <w:bookmarkEnd w:id="0"/>
            <w:r w:rsidRPr="00EC2ADE">
              <w:rPr>
                <w:rFonts w:ascii="Times New Roman" w:hAnsi="Times New Roman" w:cs="Times New Roman"/>
                <w:lang w:val="en-US"/>
              </w:rPr>
              <w:t>s or revoke or amend any trust specifically referred to below):</w:t>
            </w:r>
          </w:p>
          <w:p w:rsidR="002A2924" w:rsidRPr="00EC2ADE" w:rsidRDefault="00EC2ADE" w:rsidP="00EC2ADE">
            <w:pPr>
              <w:numPr>
                <w:ilvl w:val="0"/>
                <w:numId w:val="4"/>
              </w:numPr>
              <w:rPr>
                <w:rFonts w:ascii="Times New Roman" w:hAnsi="Times New Roman" w:cs="Times New Roman"/>
                <w:lang w:val="en-US"/>
              </w:rPr>
            </w:pPr>
            <w:r w:rsidRPr="00EC2ADE">
              <w:rPr>
                <w:rFonts w:ascii="Times New Roman" w:hAnsi="Times New Roman" w:cs="Times New Roman"/>
                <w:i/>
                <w:iCs/>
                <w:lang w:val="en-US"/>
              </w:rPr>
              <w:t xml:space="preserve">Other Compensation. </w:t>
            </w:r>
            <w:r w:rsidRPr="00EC2ADE">
              <w:rPr>
                <w:rFonts w:ascii="Times New Roman" w:hAnsi="Times New Roman" w:cs="Times New Roman"/>
                <w:lang w:val="en-US"/>
              </w:rPr>
              <w:t>The agent may compensate separately any brokers, attorneys, auditors, depositories, real estate managers, investment advisors, and other persons (including my agent and any firm with which my agent is associated without reducing compensation in any capacity).</w:t>
            </w:r>
          </w:p>
        </w:tc>
        <w:tc>
          <w:tcPr>
            <w:tcW w:w="5353" w:type="dxa"/>
          </w:tcPr>
          <w:p w:rsidR="002A2924" w:rsidRPr="005F403A" w:rsidRDefault="002A2924" w:rsidP="005F403A">
            <w:pPr>
              <w:rPr>
                <w:rFonts w:ascii="Times New Roman" w:hAnsi="Times New Roman" w:cs="Times New Roman"/>
              </w:rPr>
            </w:pPr>
          </w:p>
        </w:tc>
      </w:tr>
    </w:tbl>
    <w:p w:rsidR="00C44BBE" w:rsidRPr="00441817" w:rsidRDefault="00C44BBE" w:rsidP="00441817">
      <w:pPr>
        <w:spacing w:after="0"/>
        <w:rPr>
          <w:rFonts w:ascii="Times New Roman" w:hAnsi="Times New Roman" w:cs="Times New Roman"/>
        </w:rPr>
      </w:pPr>
    </w:p>
    <w:sectPr w:rsidR="00C44BBE" w:rsidRPr="00441817" w:rsidSect="00EC2ADE">
      <w:pgSz w:w="11906" w:h="16838"/>
      <w:pgMar w:top="426" w:right="850"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B2379"/>
    <w:multiLevelType w:val="hybridMultilevel"/>
    <w:tmpl w:val="14C66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AC6B67"/>
    <w:multiLevelType w:val="singleLevel"/>
    <w:tmpl w:val="596E5944"/>
    <w:lvl w:ilvl="0">
      <w:start w:val="2"/>
      <w:numFmt w:val="decimal"/>
      <w:lvlText w:val="%1."/>
      <w:legacy w:legacy="1" w:legacySpace="0" w:legacyIndent="264"/>
      <w:lvlJc w:val="left"/>
      <w:rPr>
        <w:rFonts w:ascii="Times New Roman" w:hAnsi="Times New Roman" w:cs="Times New Roman" w:hint="default"/>
      </w:rPr>
    </w:lvl>
  </w:abstractNum>
  <w:abstractNum w:abstractNumId="2">
    <w:nsid w:val="751F671A"/>
    <w:multiLevelType w:val="hybridMultilevel"/>
    <w:tmpl w:val="2780CDE0"/>
    <w:lvl w:ilvl="0" w:tplc="598CCB30">
      <w:numFmt w:val="bullet"/>
      <w:lvlText w:val="•"/>
      <w:lvlJc w:val="left"/>
      <w:pPr>
        <w:ind w:left="461" w:hanging="360"/>
      </w:pPr>
      <w:rPr>
        <w:rFonts w:hint="default"/>
        <w:w w:val="99"/>
        <w:lang w:val="lt" w:eastAsia="lt" w:bidi="lt"/>
      </w:rPr>
    </w:lvl>
    <w:lvl w:ilvl="1" w:tplc="77101A92">
      <w:numFmt w:val="bullet"/>
      <w:lvlText w:val="•"/>
      <w:lvlJc w:val="left"/>
      <w:pPr>
        <w:ind w:left="460" w:hanging="360"/>
      </w:pPr>
      <w:rPr>
        <w:rFonts w:hint="default"/>
        <w:lang w:val="lt" w:eastAsia="lt" w:bidi="lt"/>
      </w:rPr>
    </w:lvl>
    <w:lvl w:ilvl="2" w:tplc="B00A184C">
      <w:numFmt w:val="bullet"/>
      <w:lvlText w:val="•"/>
      <w:lvlJc w:val="left"/>
      <w:pPr>
        <w:ind w:left="273" w:hanging="360"/>
      </w:pPr>
      <w:rPr>
        <w:rFonts w:hint="default"/>
        <w:lang w:val="lt" w:eastAsia="lt" w:bidi="lt"/>
      </w:rPr>
    </w:lvl>
    <w:lvl w:ilvl="3" w:tplc="691CC436">
      <w:numFmt w:val="bullet"/>
      <w:lvlText w:val="•"/>
      <w:lvlJc w:val="left"/>
      <w:pPr>
        <w:ind w:left="87" w:hanging="360"/>
      </w:pPr>
      <w:rPr>
        <w:rFonts w:hint="default"/>
        <w:lang w:val="lt" w:eastAsia="lt" w:bidi="lt"/>
      </w:rPr>
    </w:lvl>
    <w:lvl w:ilvl="4" w:tplc="BCDCE9E4">
      <w:numFmt w:val="bullet"/>
      <w:lvlText w:val="•"/>
      <w:lvlJc w:val="left"/>
      <w:pPr>
        <w:ind w:left="-100" w:hanging="360"/>
      </w:pPr>
      <w:rPr>
        <w:rFonts w:hint="default"/>
        <w:lang w:val="lt" w:eastAsia="lt" w:bidi="lt"/>
      </w:rPr>
    </w:lvl>
    <w:lvl w:ilvl="5" w:tplc="90EAEA4A">
      <w:numFmt w:val="bullet"/>
      <w:lvlText w:val="•"/>
      <w:lvlJc w:val="left"/>
      <w:pPr>
        <w:ind w:left="-286" w:hanging="360"/>
      </w:pPr>
      <w:rPr>
        <w:rFonts w:hint="default"/>
        <w:lang w:val="lt" w:eastAsia="lt" w:bidi="lt"/>
      </w:rPr>
    </w:lvl>
    <w:lvl w:ilvl="6" w:tplc="C4C2CC76">
      <w:numFmt w:val="bullet"/>
      <w:lvlText w:val="•"/>
      <w:lvlJc w:val="left"/>
      <w:pPr>
        <w:ind w:left="-473" w:hanging="360"/>
      </w:pPr>
      <w:rPr>
        <w:rFonts w:hint="default"/>
        <w:lang w:val="lt" w:eastAsia="lt" w:bidi="lt"/>
      </w:rPr>
    </w:lvl>
    <w:lvl w:ilvl="7" w:tplc="3F389CEC">
      <w:numFmt w:val="bullet"/>
      <w:lvlText w:val="•"/>
      <w:lvlJc w:val="left"/>
      <w:pPr>
        <w:ind w:left="-659" w:hanging="360"/>
      </w:pPr>
      <w:rPr>
        <w:rFonts w:hint="default"/>
        <w:lang w:val="lt" w:eastAsia="lt" w:bidi="lt"/>
      </w:rPr>
    </w:lvl>
    <w:lvl w:ilvl="8" w:tplc="A37C7BD2">
      <w:numFmt w:val="bullet"/>
      <w:lvlText w:val="•"/>
      <w:lvlJc w:val="left"/>
      <w:pPr>
        <w:ind w:left="-846" w:hanging="360"/>
      </w:pPr>
      <w:rPr>
        <w:rFonts w:hint="default"/>
        <w:lang w:val="lt" w:eastAsia="lt" w:bidi="lt"/>
      </w:rPr>
    </w:lvl>
  </w:abstractNum>
  <w:abstractNum w:abstractNumId="3">
    <w:nsid w:val="76090FDC"/>
    <w:multiLevelType w:val="singleLevel"/>
    <w:tmpl w:val="20AA7B58"/>
    <w:lvl w:ilvl="0">
      <w:start w:val="1"/>
      <w:numFmt w:val="lowerLetter"/>
      <w:lvlText w:val="(%1)"/>
      <w:legacy w:legacy="1" w:legacySpace="0" w:legacyIndent="355"/>
      <w:lvlJc w:val="left"/>
      <w:rPr>
        <w:rFonts w:ascii="Times New Roman" w:hAnsi="Times New Roman" w:cs="Times New Roman"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B95"/>
    <w:rsid w:val="000274EC"/>
    <w:rsid w:val="000C451B"/>
    <w:rsid w:val="002A2924"/>
    <w:rsid w:val="00441817"/>
    <w:rsid w:val="00482D5B"/>
    <w:rsid w:val="004B13E0"/>
    <w:rsid w:val="004C7B95"/>
    <w:rsid w:val="005E2758"/>
    <w:rsid w:val="005F403A"/>
    <w:rsid w:val="00B325ED"/>
    <w:rsid w:val="00C44BBE"/>
    <w:rsid w:val="00C67FF0"/>
    <w:rsid w:val="00D6733C"/>
    <w:rsid w:val="00EC2ADE"/>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1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418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1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41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391</Words>
  <Characters>2233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2018-10-31T06:55:00Z</dcterms:created>
  <dcterms:modified xsi:type="dcterms:W3CDTF">2018-10-31T09:15:00Z</dcterms:modified>
</cp:coreProperties>
</file>