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352"/>
        <w:gridCol w:w="5353"/>
      </w:tblGrid>
      <w:tr w:rsidR="00441817" w:rsidRPr="003467E0" w:rsidTr="00441817">
        <w:tc>
          <w:tcPr>
            <w:tcW w:w="5352" w:type="dxa"/>
            <w:vAlign w:val="center"/>
          </w:tcPr>
          <w:p w:rsidR="00441817" w:rsidRPr="003467E0" w:rsidRDefault="00441817" w:rsidP="00852D02">
            <w:pPr>
              <w:jc w:val="center"/>
              <w:rPr>
                <w:rFonts w:ascii="Times New Roman" w:hAnsi="Times New Roman" w:cs="Times New Roman"/>
                <w:lang w:val="de-DE"/>
              </w:rPr>
            </w:pPr>
            <w:proofErr w:type="spellStart"/>
            <w:r w:rsidRPr="003467E0">
              <w:rPr>
                <w:rFonts w:ascii="Times New Roman" w:hAnsi="Times New Roman" w:cs="Times New Roman"/>
                <w:lang w:val="de-DE"/>
              </w:rPr>
              <w:t>Текст</w:t>
            </w:r>
            <w:proofErr w:type="spellEnd"/>
            <w:r w:rsidRPr="003467E0">
              <w:rPr>
                <w:rFonts w:ascii="Times New Roman" w:hAnsi="Times New Roman" w:cs="Times New Roman"/>
                <w:lang w:val="de-DE"/>
              </w:rPr>
              <w:t xml:space="preserve"> </w:t>
            </w:r>
            <w:proofErr w:type="spellStart"/>
            <w:r w:rsidRPr="003467E0">
              <w:rPr>
                <w:rFonts w:ascii="Times New Roman" w:hAnsi="Times New Roman" w:cs="Times New Roman"/>
                <w:lang w:val="de-DE"/>
              </w:rPr>
              <w:t>на</w:t>
            </w:r>
            <w:proofErr w:type="spellEnd"/>
            <w:r w:rsidRPr="003467E0">
              <w:rPr>
                <w:rFonts w:ascii="Times New Roman" w:hAnsi="Times New Roman" w:cs="Times New Roman"/>
                <w:lang w:val="de-DE"/>
              </w:rPr>
              <w:t xml:space="preserve"> </w:t>
            </w:r>
            <w:proofErr w:type="spellStart"/>
            <w:r w:rsidR="00852D02" w:rsidRPr="003467E0">
              <w:rPr>
                <w:rFonts w:ascii="Times New Roman" w:hAnsi="Times New Roman" w:cs="Times New Roman"/>
                <w:lang w:val="de-DE"/>
              </w:rPr>
              <w:t>немецком</w:t>
            </w:r>
            <w:proofErr w:type="spellEnd"/>
          </w:p>
        </w:tc>
        <w:tc>
          <w:tcPr>
            <w:tcW w:w="5353" w:type="dxa"/>
            <w:vAlign w:val="center"/>
          </w:tcPr>
          <w:p w:rsidR="00441817" w:rsidRPr="003467E0" w:rsidRDefault="00852D02" w:rsidP="00441817">
            <w:pPr>
              <w:jc w:val="center"/>
              <w:rPr>
                <w:rFonts w:ascii="Times New Roman" w:hAnsi="Times New Roman" w:cs="Times New Roman"/>
                <w:lang w:val="de-DE"/>
              </w:rPr>
            </w:pPr>
            <w:proofErr w:type="spellStart"/>
            <w:r w:rsidRPr="003467E0">
              <w:rPr>
                <w:rFonts w:ascii="Times New Roman" w:hAnsi="Times New Roman" w:cs="Times New Roman"/>
                <w:lang w:val="de-DE"/>
              </w:rPr>
              <w:t>Перевод</w:t>
            </w:r>
            <w:proofErr w:type="spellEnd"/>
            <w:r w:rsidRPr="003467E0">
              <w:rPr>
                <w:rFonts w:ascii="Times New Roman" w:hAnsi="Times New Roman" w:cs="Times New Roman"/>
                <w:lang w:val="de-DE"/>
              </w:rPr>
              <w:t xml:space="preserve"> </w:t>
            </w:r>
            <w:proofErr w:type="spellStart"/>
            <w:r w:rsidRPr="003467E0">
              <w:rPr>
                <w:rFonts w:ascii="Times New Roman" w:hAnsi="Times New Roman" w:cs="Times New Roman"/>
                <w:lang w:val="de-DE"/>
              </w:rPr>
              <w:t>на</w:t>
            </w:r>
            <w:proofErr w:type="spellEnd"/>
            <w:r w:rsidRPr="003467E0">
              <w:rPr>
                <w:rFonts w:ascii="Times New Roman" w:hAnsi="Times New Roman" w:cs="Times New Roman"/>
                <w:lang w:val="de-DE"/>
              </w:rPr>
              <w:t xml:space="preserve"> </w:t>
            </w:r>
            <w:proofErr w:type="spellStart"/>
            <w:r w:rsidRPr="003467E0">
              <w:rPr>
                <w:rFonts w:ascii="Times New Roman" w:hAnsi="Times New Roman" w:cs="Times New Roman"/>
                <w:lang w:val="de-DE"/>
              </w:rPr>
              <w:t>русский</w:t>
            </w:r>
            <w:proofErr w:type="spellEnd"/>
          </w:p>
        </w:tc>
      </w:tr>
      <w:tr w:rsidR="00441817" w:rsidRPr="00365FA9" w:rsidTr="00441817">
        <w:tc>
          <w:tcPr>
            <w:tcW w:w="5352" w:type="dxa"/>
          </w:tcPr>
          <w:p w:rsidR="00A205B6" w:rsidRPr="003467E0" w:rsidRDefault="00A205B6" w:rsidP="00DD2E90">
            <w:pPr>
              <w:pStyle w:val="a5"/>
              <w:rPr>
                <w:rFonts w:ascii="Times New Roman" w:hAnsi="Times New Roman" w:cs="Times New Roman"/>
                <w:sz w:val="22"/>
                <w:szCs w:val="22"/>
              </w:rPr>
            </w:pPr>
            <w:r w:rsidRPr="003467E0">
              <w:rPr>
                <w:rFonts w:ascii="Times New Roman" w:hAnsi="Times New Roman" w:cs="Times New Roman"/>
                <w:sz w:val="22"/>
                <w:szCs w:val="22"/>
              </w:rPr>
              <w:t>Mit der Überprüfung der klinischen Daten kann versichert werden, dass:</w:t>
            </w:r>
          </w:p>
          <w:p w:rsidR="00A205B6" w:rsidRPr="003467E0" w:rsidRDefault="00A205B6" w:rsidP="00A205B6">
            <w:pPr>
              <w:pStyle w:val="a4"/>
              <w:widowControl w:val="0"/>
              <w:numPr>
                <w:ilvl w:val="1"/>
                <w:numId w:val="5"/>
              </w:numPr>
              <w:tabs>
                <w:tab w:val="left" w:pos="426"/>
              </w:tabs>
              <w:autoSpaceDE w:val="0"/>
              <w:autoSpaceDN w:val="0"/>
              <w:ind w:left="426" w:right="112"/>
              <w:contextualSpacing w:val="0"/>
              <w:rPr>
                <w:rFonts w:ascii="Times New Roman" w:hAnsi="Times New Roman" w:cs="Times New Roman"/>
                <w:szCs w:val="24"/>
                <w:lang w:val="de-DE"/>
              </w:rPr>
            </w:pPr>
            <w:r w:rsidRPr="003467E0">
              <w:rPr>
                <w:rFonts w:ascii="Times New Roman" w:hAnsi="Times New Roman" w:cs="Times New Roman"/>
                <w:szCs w:val="24"/>
                <w:lang w:val="de-DE"/>
              </w:rPr>
              <w:t xml:space="preserve">das betrachtete Produkt </w:t>
            </w:r>
            <w:r w:rsidRPr="003467E0">
              <w:rPr>
                <w:rFonts w:ascii="Times New Roman" w:hAnsi="Times New Roman" w:cs="Times New Roman"/>
                <w:spacing w:val="-3"/>
                <w:szCs w:val="24"/>
                <w:lang w:val="de-DE"/>
              </w:rPr>
              <w:t xml:space="preserve">unter </w:t>
            </w:r>
            <w:r w:rsidRPr="003467E0">
              <w:rPr>
                <w:rFonts w:ascii="Times New Roman" w:hAnsi="Times New Roman" w:cs="Times New Roman"/>
                <w:szCs w:val="24"/>
                <w:lang w:val="de-DE"/>
              </w:rPr>
              <w:t>normalen Einsatzbedingungen seine beabsichtigte Leistung erbringt,</w:t>
            </w:r>
          </w:p>
          <w:p w:rsidR="00A205B6" w:rsidRPr="003467E0" w:rsidRDefault="00A205B6" w:rsidP="00A205B6">
            <w:pPr>
              <w:pStyle w:val="a4"/>
              <w:widowControl w:val="0"/>
              <w:numPr>
                <w:ilvl w:val="1"/>
                <w:numId w:val="5"/>
              </w:numPr>
              <w:tabs>
                <w:tab w:val="left" w:pos="426"/>
              </w:tabs>
              <w:autoSpaceDE w:val="0"/>
              <w:autoSpaceDN w:val="0"/>
              <w:spacing w:before="1"/>
              <w:ind w:left="426"/>
              <w:contextualSpacing w:val="0"/>
              <w:rPr>
                <w:rFonts w:ascii="Times New Roman" w:hAnsi="Times New Roman" w:cs="Times New Roman"/>
                <w:szCs w:val="24"/>
                <w:lang w:val="de-DE"/>
              </w:rPr>
            </w:pPr>
            <w:r w:rsidRPr="003467E0">
              <w:rPr>
                <w:rFonts w:ascii="Times New Roman" w:hAnsi="Times New Roman" w:cs="Times New Roman"/>
                <w:szCs w:val="24"/>
                <w:lang w:val="de-DE"/>
              </w:rPr>
              <w:t>geeignet und wirksam für die vom Hersteller beabsichtigte Verwendung</w:t>
            </w:r>
            <w:r w:rsidRPr="003467E0">
              <w:rPr>
                <w:rFonts w:ascii="Times New Roman" w:hAnsi="Times New Roman" w:cs="Times New Roman"/>
                <w:spacing w:val="-8"/>
                <w:szCs w:val="24"/>
                <w:lang w:val="de-DE"/>
              </w:rPr>
              <w:t xml:space="preserve"> </w:t>
            </w:r>
            <w:r w:rsidRPr="003467E0">
              <w:rPr>
                <w:rFonts w:ascii="Times New Roman" w:hAnsi="Times New Roman" w:cs="Times New Roman"/>
                <w:szCs w:val="24"/>
                <w:lang w:val="de-DE"/>
              </w:rPr>
              <w:t>ist;</w:t>
            </w:r>
          </w:p>
          <w:p w:rsidR="00A205B6" w:rsidRPr="003467E0" w:rsidRDefault="00A205B6" w:rsidP="00A205B6">
            <w:pPr>
              <w:pStyle w:val="a4"/>
              <w:widowControl w:val="0"/>
              <w:numPr>
                <w:ilvl w:val="1"/>
                <w:numId w:val="5"/>
              </w:numPr>
              <w:tabs>
                <w:tab w:val="left" w:pos="426"/>
              </w:tabs>
              <w:autoSpaceDE w:val="0"/>
              <w:autoSpaceDN w:val="0"/>
              <w:spacing w:before="1"/>
              <w:ind w:left="426" w:right="114"/>
              <w:contextualSpacing w:val="0"/>
              <w:rPr>
                <w:rFonts w:ascii="Times New Roman" w:hAnsi="Times New Roman" w:cs="Times New Roman"/>
                <w:szCs w:val="24"/>
                <w:lang w:val="de-DE"/>
              </w:rPr>
            </w:pPr>
            <w:r w:rsidRPr="003467E0">
              <w:rPr>
                <w:rFonts w:ascii="Times New Roman" w:hAnsi="Times New Roman" w:cs="Times New Roman"/>
                <w:szCs w:val="24"/>
                <w:lang w:val="de-DE"/>
              </w:rPr>
              <w:t xml:space="preserve">die bekannten und absehbaren Risiken minimiert wurden und akzeptabel gegenüber des Nutzens für den </w:t>
            </w:r>
            <w:r w:rsidRPr="003467E0">
              <w:rPr>
                <w:rFonts w:ascii="Times New Roman" w:hAnsi="Times New Roman" w:cs="Times New Roman"/>
                <w:spacing w:val="-3"/>
                <w:szCs w:val="24"/>
                <w:lang w:val="de-DE"/>
              </w:rPr>
              <w:t>Anwender</w:t>
            </w:r>
            <w:r w:rsidRPr="003467E0">
              <w:rPr>
                <w:rFonts w:ascii="Times New Roman" w:hAnsi="Times New Roman" w:cs="Times New Roman"/>
                <w:spacing w:val="-1"/>
                <w:szCs w:val="24"/>
                <w:lang w:val="de-DE"/>
              </w:rPr>
              <w:t xml:space="preserve"> </w:t>
            </w:r>
            <w:r w:rsidRPr="003467E0">
              <w:rPr>
                <w:rFonts w:ascii="Times New Roman" w:hAnsi="Times New Roman" w:cs="Times New Roman"/>
                <w:szCs w:val="24"/>
                <w:lang w:val="de-DE"/>
              </w:rPr>
              <w:t>sind;</w:t>
            </w:r>
          </w:p>
          <w:p w:rsidR="00A205B6" w:rsidRPr="003467E0" w:rsidRDefault="00A205B6" w:rsidP="00A205B6">
            <w:pPr>
              <w:pStyle w:val="a4"/>
              <w:widowControl w:val="0"/>
              <w:numPr>
                <w:ilvl w:val="1"/>
                <w:numId w:val="5"/>
              </w:numPr>
              <w:tabs>
                <w:tab w:val="left" w:pos="426"/>
              </w:tabs>
              <w:autoSpaceDE w:val="0"/>
              <w:autoSpaceDN w:val="0"/>
              <w:ind w:left="426" w:right="117"/>
              <w:contextualSpacing w:val="0"/>
              <w:rPr>
                <w:rFonts w:ascii="Times New Roman" w:hAnsi="Times New Roman" w:cs="Times New Roman"/>
                <w:szCs w:val="24"/>
                <w:lang w:val="de-DE"/>
              </w:rPr>
            </w:pPr>
            <w:r w:rsidRPr="003467E0">
              <w:rPr>
                <w:rFonts w:ascii="Times New Roman" w:hAnsi="Times New Roman" w:cs="Times New Roman"/>
                <w:szCs w:val="24"/>
                <w:lang w:val="de-DE"/>
              </w:rPr>
              <w:t xml:space="preserve">alle Aussagen über die Leistung und Sicherheit des Produktes durch geeignete Nachweise bewiesen </w:t>
            </w:r>
            <w:r w:rsidRPr="003467E0">
              <w:rPr>
                <w:rFonts w:ascii="Times New Roman" w:hAnsi="Times New Roman" w:cs="Times New Roman"/>
                <w:spacing w:val="-3"/>
                <w:szCs w:val="24"/>
                <w:lang w:val="de-DE"/>
              </w:rPr>
              <w:t>werden</w:t>
            </w:r>
            <w:r w:rsidRPr="003467E0">
              <w:rPr>
                <w:rFonts w:ascii="Times New Roman" w:hAnsi="Times New Roman" w:cs="Times New Roman"/>
                <w:spacing w:val="3"/>
                <w:szCs w:val="24"/>
                <w:lang w:val="de-DE"/>
              </w:rPr>
              <w:t xml:space="preserve"> </w:t>
            </w:r>
            <w:r w:rsidRPr="003467E0">
              <w:rPr>
                <w:rFonts w:ascii="Times New Roman" w:hAnsi="Times New Roman" w:cs="Times New Roman"/>
                <w:szCs w:val="24"/>
                <w:lang w:val="de-DE"/>
              </w:rPr>
              <w:t>können.</w:t>
            </w:r>
          </w:p>
          <w:p w:rsidR="00441817" w:rsidRPr="003467E0" w:rsidRDefault="00A205B6" w:rsidP="00DD2E90">
            <w:pPr>
              <w:pStyle w:val="a5"/>
            </w:pPr>
            <w:r w:rsidRPr="003467E0">
              <w:rPr>
                <w:rFonts w:ascii="Times New Roman" w:hAnsi="Times New Roman" w:cs="Times New Roman"/>
                <w:sz w:val="22"/>
                <w:szCs w:val="22"/>
              </w:rPr>
              <w:t>Der Clinical Evaluation Report ist Teil der Demonstration der Konformität mit den Grundlegenden Anforderungen und damit Teil der technischen Dokumentation.</w:t>
            </w:r>
          </w:p>
        </w:tc>
        <w:tc>
          <w:tcPr>
            <w:tcW w:w="5353" w:type="dxa"/>
          </w:tcPr>
          <w:p w:rsidR="00441817" w:rsidRPr="003467E0" w:rsidRDefault="00441817" w:rsidP="008D4DD8">
            <w:pPr>
              <w:pStyle w:val="a4"/>
              <w:ind w:left="33"/>
              <w:rPr>
                <w:rFonts w:ascii="Times New Roman" w:hAnsi="Times New Roman" w:cs="Times New Roman"/>
                <w:lang w:val="de-DE"/>
              </w:rPr>
            </w:pPr>
          </w:p>
        </w:tc>
      </w:tr>
      <w:tr w:rsidR="00441817" w:rsidRPr="00365FA9" w:rsidTr="00441817">
        <w:tc>
          <w:tcPr>
            <w:tcW w:w="5352" w:type="dxa"/>
          </w:tcPr>
          <w:p w:rsidR="00253B81" w:rsidRPr="003467E0" w:rsidRDefault="00253B81" w:rsidP="00253B81">
            <w:pPr>
              <w:rPr>
                <w:rFonts w:ascii="Times New Roman" w:hAnsi="Times New Roman" w:cs="Times New Roman"/>
                <w:lang w:val="de-DE"/>
              </w:rPr>
            </w:pPr>
            <w:r w:rsidRPr="003467E0">
              <w:rPr>
                <w:rFonts w:ascii="Times New Roman" w:hAnsi="Times New Roman" w:cs="Times New Roman"/>
                <w:lang w:val="de-DE"/>
              </w:rPr>
              <w:t xml:space="preserve">Der Betreiber hat dafür zu sorgen, </w:t>
            </w:r>
            <w:proofErr w:type="spellStart"/>
            <w:r w:rsidRPr="003467E0">
              <w:rPr>
                <w:rFonts w:ascii="Times New Roman" w:hAnsi="Times New Roman" w:cs="Times New Roman"/>
                <w:lang w:val="de-DE"/>
              </w:rPr>
              <w:t>daß</w:t>
            </w:r>
            <w:proofErr w:type="spellEnd"/>
            <w:r w:rsidRPr="003467E0">
              <w:rPr>
                <w:rFonts w:ascii="Times New Roman" w:hAnsi="Times New Roman" w:cs="Times New Roman"/>
                <w:lang w:val="de-DE"/>
              </w:rPr>
              <w:t xml:space="preserve"> die mit der Montage, dem Betrieb und Wartung </w:t>
            </w:r>
            <w:proofErr w:type="gramStart"/>
            <w:r w:rsidRPr="003467E0">
              <w:rPr>
                <w:rFonts w:ascii="Times New Roman" w:hAnsi="Times New Roman" w:cs="Times New Roman"/>
                <w:lang w:val="de-DE"/>
              </w:rPr>
              <w:t>so- wie</w:t>
            </w:r>
            <w:proofErr w:type="gramEnd"/>
            <w:r w:rsidRPr="003467E0">
              <w:rPr>
                <w:rFonts w:ascii="Times New Roman" w:hAnsi="Times New Roman" w:cs="Times New Roman"/>
                <w:lang w:val="de-DE"/>
              </w:rPr>
              <w:t xml:space="preserve"> der Instandsetzung beauftragten Personen die Betriebsanleitung gelesen und </w:t>
            </w:r>
            <w:proofErr w:type="spellStart"/>
            <w:r w:rsidRPr="003467E0">
              <w:rPr>
                <w:rFonts w:ascii="Times New Roman" w:hAnsi="Times New Roman" w:cs="Times New Roman"/>
                <w:lang w:val="de-DE"/>
              </w:rPr>
              <w:t>verstan</w:t>
            </w:r>
            <w:proofErr w:type="spellEnd"/>
            <w:r w:rsidRPr="003467E0">
              <w:rPr>
                <w:rFonts w:ascii="Times New Roman" w:hAnsi="Times New Roman" w:cs="Times New Roman"/>
                <w:lang w:val="de-DE"/>
              </w:rPr>
              <w:t>- den haben und sie in allen Punkten beachten, um:</w:t>
            </w:r>
          </w:p>
          <w:p w:rsidR="00253B81" w:rsidRPr="003467E0" w:rsidRDefault="00253B81" w:rsidP="00253B81">
            <w:pPr>
              <w:rPr>
                <w:rFonts w:ascii="Times New Roman" w:hAnsi="Times New Roman" w:cs="Times New Roman"/>
                <w:lang w:val="de-DE"/>
              </w:rPr>
            </w:pPr>
            <w:r w:rsidRPr="003467E0">
              <w:rPr>
                <w:rFonts w:ascii="Times New Roman" w:hAnsi="Times New Roman" w:cs="Times New Roman"/>
                <w:lang w:val="de-DE"/>
              </w:rPr>
              <w:t>-</w:t>
            </w:r>
            <w:r w:rsidRPr="003467E0">
              <w:rPr>
                <w:rFonts w:ascii="Times New Roman" w:hAnsi="Times New Roman" w:cs="Times New Roman"/>
                <w:lang w:val="de-DE"/>
              </w:rPr>
              <w:tab/>
              <w:t>Gefahren für Leib und Leben vom Benutzer und Dritter abzuwenden</w:t>
            </w:r>
          </w:p>
          <w:p w:rsidR="00253B81" w:rsidRPr="003467E0" w:rsidRDefault="00253B81" w:rsidP="00253B81">
            <w:pPr>
              <w:rPr>
                <w:rFonts w:ascii="Times New Roman" w:hAnsi="Times New Roman" w:cs="Times New Roman"/>
                <w:lang w:val="de-DE"/>
              </w:rPr>
            </w:pPr>
            <w:r w:rsidRPr="003467E0">
              <w:rPr>
                <w:rFonts w:ascii="Times New Roman" w:hAnsi="Times New Roman" w:cs="Times New Roman"/>
                <w:lang w:val="de-DE"/>
              </w:rPr>
              <w:t>-</w:t>
            </w:r>
            <w:r w:rsidRPr="003467E0">
              <w:rPr>
                <w:rFonts w:ascii="Times New Roman" w:hAnsi="Times New Roman" w:cs="Times New Roman"/>
                <w:lang w:val="de-DE"/>
              </w:rPr>
              <w:tab/>
              <w:t>die Betriebssicherheit der Kupplung sicherzustellen</w:t>
            </w:r>
          </w:p>
          <w:p w:rsidR="00441817" w:rsidRPr="003467E0" w:rsidRDefault="00253B81" w:rsidP="00253B81">
            <w:pPr>
              <w:rPr>
                <w:rFonts w:ascii="Times New Roman" w:hAnsi="Times New Roman" w:cs="Times New Roman"/>
                <w:lang w:val="de-DE"/>
              </w:rPr>
            </w:pPr>
            <w:r w:rsidRPr="003467E0">
              <w:rPr>
                <w:rFonts w:ascii="Times New Roman" w:hAnsi="Times New Roman" w:cs="Times New Roman"/>
                <w:lang w:val="de-DE"/>
              </w:rPr>
              <w:t>-</w:t>
            </w:r>
            <w:r w:rsidRPr="003467E0">
              <w:rPr>
                <w:rFonts w:ascii="Times New Roman" w:hAnsi="Times New Roman" w:cs="Times New Roman"/>
                <w:lang w:val="de-DE"/>
              </w:rPr>
              <w:tab/>
              <w:t>Nutzungsausfälle und Umweltbeeinträchtigungen durch falsche Handhabung auszuschließen</w:t>
            </w:r>
          </w:p>
        </w:tc>
        <w:tc>
          <w:tcPr>
            <w:tcW w:w="5353" w:type="dxa"/>
          </w:tcPr>
          <w:p w:rsidR="004B13E0" w:rsidRPr="003467E0" w:rsidRDefault="004B13E0" w:rsidP="004B13E0">
            <w:pPr>
              <w:rPr>
                <w:rFonts w:ascii="Times New Roman" w:hAnsi="Times New Roman" w:cs="Times New Roman"/>
                <w:lang w:val="de-DE"/>
              </w:rPr>
            </w:pPr>
          </w:p>
        </w:tc>
      </w:tr>
      <w:tr w:rsidR="004B13E0" w:rsidRPr="003467E0" w:rsidTr="00441817">
        <w:tc>
          <w:tcPr>
            <w:tcW w:w="5352" w:type="dxa"/>
          </w:tcPr>
          <w:p w:rsidR="00A2346F" w:rsidRPr="003467E0" w:rsidRDefault="00A2346F" w:rsidP="00A2346F">
            <w:pPr>
              <w:rPr>
                <w:rFonts w:ascii="Times New Roman" w:hAnsi="Times New Roman" w:cs="Times New Roman"/>
                <w:lang w:val="de-DE"/>
              </w:rPr>
            </w:pPr>
            <w:r w:rsidRPr="003467E0">
              <w:rPr>
                <w:rFonts w:ascii="Times New Roman" w:hAnsi="Times New Roman" w:cs="Times New Roman"/>
                <w:lang w:val="de-DE"/>
              </w:rPr>
              <w:t>Pat. wach, orientiert, in reduziertem EZ und reduziertem AZ.</w:t>
            </w:r>
          </w:p>
          <w:p w:rsidR="00A2346F" w:rsidRPr="003467E0" w:rsidRDefault="00A2346F" w:rsidP="00A2346F">
            <w:pPr>
              <w:rPr>
                <w:rFonts w:ascii="Times New Roman" w:hAnsi="Times New Roman" w:cs="Times New Roman"/>
                <w:lang w:val="de-DE"/>
              </w:rPr>
            </w:pPr>
            <w:proofErr w:type="spellStart"/>
            <w:r w:rsidRPr="003467E0">
              <w:rPr>
                <w:rFonts w:ascii="Times New Roman" w:hAnsi="Times New Roman" w:cs="Times New Roman"/>
                <w:lang w:val="de-DE"/>
              </w:rPr>
              <w:t>Cor</w:t>
            </w:r>
            <w:proofErr w:type="spellEnd"/>
            <w:r w:rsidRPr="003467E0">
              <w:rPr>
                <w:rFonts w:ascii="Times New Roman" w:hAnsi="Times New Roman" w:cs="Times New Roman"/>
                <w:lang w:val="de-DE"/>
              </w:rPr>
              <w:t xml:space="preserve">: Rein, rhythmisch </w:t>
            </w:r>
            <w:proofErr w:type="spellStart"/>
            <w:r w:rsidRPr="003467E0">
              <w:rPr>
                <w:rFonts w:ascii="Times New Roman" w:hAnsi="Times New Roman" w:cs="Times New Roman"/>
                <w:lang w:val="de-DE"/>
              </w:rPr>
              <w:t>Pulmo</w:t>
            </w:r>
            <w:proofErr w:type="spellEnd"/>
            <w:r w:rsidRPr="003467E0">
              <w:rPr>
                <w:rFonts w:ascii="Times New Roman" w:hAnsi="Times New Roman" w:cs="Times New Roman"/>
                <w:lang w:val="de-DE"/>
              </w:rPr>
              <w:t xml:space="preserve">: </w:t>
            </w:r>
            <w:proofErr w:type="spellStart"/>
            <w:r w:rsidRPr="003467E0">
              <w:rPr>
                <w:rFonts w:ascii="Times New Roman" w:hAnsi="Times New Roman" w:cs="Times New Roman"/>
                <w:lang w:val="de-DE"/>
              </w:rPr>
              <w:t>Bds</w:t>
            </w:r>
            <w:proofErr w:type="spellEnd"/>
            <w:r w:rsidRPr="003467E0">
              <w:rPr>
                <w:rFonts w:ascii="Times New Roman" w:hAnsi="Times New Roman" w:cs="Times New Roman"/>
                <w:lang w:val="de-DE"/>
              </w:rPr>
              <w:t>. belüftet, VAG</w:t>
            </w:r>
          </w:p>
          <w:p w:rsidR="00A2346F" w:rsidRPr="003467E0" w:rsidRDefault="00A2346F" w:rsidP="00A2346F">
            <w:pPr>
              <w:rPr>
                <w:rFonts w:ascii="Times New Roman" w:hAnsi="Times New Roman" w:cs="Times New Roman"/>
                <w:lang w:val="de-DE"/>
              </w:rPr>
            </w:pPr>
            <w:r w:rsidRPr="003467E0">
              <w:rPr>
                <w:rFonts w:ascii="Times New Roman" w:hAnsi="Times New Roman" w:cs="Times New Roman"/>
                <w:lang w:val="de-DE"/>
              </w:rPr>
              <w:t xml:space="preserve">Abdomen: BD weich, keine Abwehrspannung, keine Resistenz, kein Druckschmerz, </w:t>
            </w:r>
            <w:proofErr w:type="spellStart"/>
            <w:r w:rsidRPr="003467E0">
              <w:rPr>
                <w:rFonts w:ascii="Times New Roman" w:hAnsi="Times New Roman" w:cs="Times New Roman"/>
                <w:lang w:val="de-DE"/>
              </w:rPr>
              <w:t>Darmgerausche</w:t>
            </w:r>
            <w:proofErr w:type="spellEnd"/>
            <w:r w:rsidRPr="003467E0">
              <w:rPr>
                <w:rFonts w:ascii="Times New Roman" w:hAnsi="Times New Roman" w:cs="Times New Roman"/>
                <w:lang w:val="de-DE"/>
              </w:rPr>
              <w:t xml:space="preserve"> lebhaft in allen 4 Quadranten, Nierenlager </w:t>
            </w:r>
            <w:proofErr w:type="spellStart"/>
            <w:r w:rsidRPr="003467E0">
              <w:rPr>
                <w:rFonts w:ascii="Times New Roman" w:hAnsi="Times New Roman" w:cs="Times New Roman"/>
                <w:lang w:val="de-DE"/>
              </w:rPr>
              <w:t>bds</w:t>
            </w:r>
            <w:proofErr w:type="spellEnd"/>
            <w:r w:rsidRPr="003467E0">
              <w:rPr>
                <w:rFonts w:ascii="Times New Roman" w:hAnsi="Times New Roman" w:cs="Times New Roman"/>
                <w:lang w:val="de-DE"/>
              </w:rPr>
              <w:t>. klopfschmerzfrei.</w:t>
            </w:r>
          </w:p>
          <w:p w:rsidR="00A2346F" w:rsidRPr="003467E0" w:rsidRDefault="00A2346F" w:rsidP="00A2346F">
            <w:pPr>
              <w:rPr>
                <w:rFonts w:ascii="Times New Roman" w:hAnsi="Times New Roman" w:cs="Times New Roman"/>
                <w:lang w:val="de-DE"/>
              </w:rPr>
            </w:pPr>
            <w:r w:rsidRPr="003467E0">
              <w:rPr>
                <w:rFonts w:ascii="Times New Roman" w:hAnsi="Times New Roman" w:cs="Times New Roman"/>
                <w:lang w:val="de-DE"/>
              </w:rPr>
              <w:t xml:space="preserve">Kopf/Hals Frei beweglich, Schädel ohne äußere Verletzungen </w:t>
            </w:r>
            <w:proofErr w:type="spellStart"/>
            <w:r w:rsidRPr="003467E0">
              <w:rPr>
                <w:rFonts w:ascii="Times New Roman" w:hAnsi="Times New Roman" w:cs="Times New Roman"/>
                <w:lang w:val="de-DE"/>
              </w:rPr>
              <w:t>Visus</w:t>
            </w:r>
            <w:proofErr w:type="spellEnd"/>
            <w:r w:rsidRPr="003467E0">
              <w:rPr>
                <w:rFonts w:ascii="Times New Roman" w:hAnsi="Times New Roman" w:cs="Times New Roman"/>
                <w:lang w:val="de-DE"/>
              </w:rPr>
              <w:t xml:space="preserve"> intakt Konjunktiven rosig, Pupillen mittelweit, </w:t>
            </w:r>
            <w:proofErr w:type="spellStart"/>
            <w:r w:rsidRPr="003467E0">
              <w:rPr>
                <w:rFonts w:ascii="Times New Roman" w:hAnsi="Times New Roman" w:cs="Times New Roman"/>
                <w:lang w:val="de-DE"/>
              </w:rPr>
              <w:t>isokor</w:t>
            </w:r>
            <w:proofErr w:type="spellEnd"/>
            <w:r w:rsidRPr="003467E0">
              <w:rPr>
                <w:rFonts w:ascii="Times New Roman" w:hAnsi="Times New Roman" w:cs="Times New Roman"/>
                <w:lang w:val="de-DE"/>
              </w:rPr>
              <w:t>, reaktiv auf Licht und Konvergenz.</w:t>
            </w:r>
          </w:p>
          <w:p w:rsidR="004B13E0" w:rsidRPr="003467E0" w:rsidRDefault="00A2346F" w:rsidP="00A2346F">
            <w:pPr>
              <w:rPr>
                <w:rFonts w:ascii="Times New Roman" w:hAnsi="Times New Roman" w:cs="Times New Roman"/>
                <w:lang w:val="de-DE"/>
              </w:rPr>
            </w:pPr>
            <w:r w:rsidRPr="003467E0">
              <w:rPr>
                <w:rFonts w:ascii="Times New Roman" w:hAnsi="Times New Roman" w:cs="Times New Roman"/>
                <w:lang w:val="de-DE"/>
              </w:rPr>
              <w:t>Haut: Zunge feucht.</w:t>
            </w:r>
          </w:p>
        </w:tc>
        <w:tc>
          <w:tcPr>
            <w:tcW w:w="5353" w:type="dxa"/>
          </w:tcPr>
          <w:p w:rsidR="004B13E0" w:rsidRPr="003467E0" w:rsidRDefault="004B13E0" w:rsidP="005F403A">
            <w:pPr>
              <w:rPr>
                <w:rFonts w:ascii="Times New Roman" w:hAnsi="Times New Roman" w:cs="Times New Roman"/>
                <w:sz w:val="20"/>
                <w:szCs w:val="20"/>
                <w:lang w:val="de-DE"/>
              </w:rPr>
            </w:pPr>
          </w:p>
        </w:tc>
      </w:tr>
      <w:tr w:rsidR="00365FA9" w:rsidRPr="00365FA9" w:rsidTr="00441817">
        <w:tc>
          <w:tcPr>
            <w:tcW w:w="5352" w:type="dxa"/>
          </w:tcPr>
          <w:p w:rsidR="00365FA9" w:rsidRPr="003467E0" w:rsidRDefault="00365FA9" w:rsidP="00A2346F">
            <w:pPr>
              <w:rPr>
                <w:rFonts w:ascii="Times New Roman" w:hAnsi="Times New Roman" w:cs="Times New Roman"/>
                <w:lang w:val="de-DE"/>
              </w:rPr>
            </w:pPr>
            <w:r w:rsidRPr="00365FA9">
              <w:rPr>
                <w:rFonts w:ascii="Times New Roman" w:hAnsi="Times New Roman" w:cs="Times New Roman"/>
                <w:lang w:val="de-DE"/>
              </w:rPr>
              <w:t xml:space="preserve">„Demgemäß ist bei der Prüfung der politischen Motivation eines </w:t>
            </w:r>
            <w:proofErr w:type="spellStart"/>
            <w:r w:rsidRPr="00365FA9">
              <w:rPr>
                <w:rFonts w:ascii="Times New Roman" w:hAnsi="Times New Roman" w:cs="Times New Roman"/>
                <w:lang w:val="de-DE"/>
              </w:rPr>
              <w:t>Auslieferungbegehrens</w:t>
            </w:r>
            <w:proofErr w:type="spellEnd"/>
            <w:r w:rsidRPr="00365FA9">
              <w:rPr>
                <w:rFonts w:ascii="Times New Roman" w:hAnsi="Times New Roman" w:cs="Times New Roman"/>
                <w:lang w:val="de-DE"/>
              </w:rPr>
              <w:t xml:space="preserve"> ein strenger Maßstab anzulegen, wonach in vorliegenden Fall kein Unlauteres Interesse des </w:t>
            </w:r>
            <w:proofErr w:type="spellStart"/>
            <w:r w:rsidRPr="00365FA9">
              <w:rPr>
                <w:rFonts w:ascii="Times New Roman" w:hAnsi="Times New Roman" w:cs="Times New Roman"/>
                <w:lang w:val="de-DE"/>
              </w:rPr>
              <w:t>Zielstaadt</w:t>
            </w:r>
            <w:proofErr w:type="spellEnd"/>
            <w:r w:rsidRPr="00365FA9">
              <w:rPr>
                <w:rFonts w:ascii="Times New Roman" w:hAnsi="Times New Roman" w:cs="Times New Roman"/>
                <w:lang w:val="de-DE"/>
              </w:rPr>
              <w:t xml:space="preserve"> anzunehmen ist, weil es sich bei den USA um ein Land mit langer demokratischer und rechtsstaatlicher Tradition handelt, in dem der Betroffene keine politischen Handlungen setzte, die inkriminierte Taten rein kriminellen Charakter aufweisen, die Ermittlungen und Anklageerhebung von den nun behaupteten politisch relevanten Geschehnissen erfolgen und sich die Anklage gegen mehrere Personen aus verschiedenen Ländern richtet."</w:t>
            </w:r>
          </w:p>
        </w:tc>
        <w:tc>
          <w:tcPr>
            <w:tcW w:w="5353" w:type="dxa"/>
          </w:tcPr>
          <w:p w:rsidR="00365FA9" w:rsidRPr="003467E0" w:rsidRDefault="00365FA9" w:rsidP="005F403A">
            <w:pPr>
              <w:rPr>
                <w:rFonts w:ascii="Times New Roman" w:hAnsi="Times New Roman" w:cs="Times New Roman"/>
                <w:sz w:val="20"/>
                <w:szCs w:val="20"/>
                <w:lang w:val="de-DE"/>
              </w:rPr>
            </w:pPr>
          </w:p>
        </w:tc>
      </w:tr>
      <w:tr w:rsidR="009F00A5" w:rsidRPr="00365FA9" w:rsidTr="00441817">
        <w:tc>
          <w:tcPr>
            <w:tcW w:w="5352" w:type="dxa"/>
          </w:tcPr>
          <w:p w:rsidR="009F00A5" w:rsidRPr="009F00A5" w:rsidRDefault="009F00A5" w:rsidP="009F00A5">
            <w:pPr>
              <w:rPr>
                <w:rFonts w:ascii="Times New Roman" w:hAnsi="Times New Roman" w:cs="Times New Roman"/>
                <w:lang w:val="de-DE"/>
              </w:rPr>
            </w:pPr>
            <w:r w:rsidRPr="009F00A5">
              <w:rPr>
                <w:rFonts w:ascii="Times New Roman" w:hAnsi="Times New Roman" w:cs="Times New Roman"/>
                <w:lang w:val="de-DE"/>
              </w:rPr>
              <w:t>Betriebsweise (Triebwerkgruppe)</w:t>
            </w:r>
          </w:p>
          <w:p w:rsidR="009F00A5" w:rsidRPr="00365FA9" w:rsidRDefault="009F00A5" w:rsidP="009F00A5">
            <w:pPr>
              <w:rPr>
                <w:rFonts w:ascii="Times New Roman" w:hAnsi="Times New Roman" w:cs="Times New Roman"/>
                <w:lang w:val="de-DE"/>
              </w:rPr>
            </w:pPr>
            <w:r w:rsidRPr="009F00A5">
              <w:rPr>
                <w:rFonts w:ascii="Times New Roman" w:hAnsi="Times New Roman" w:cs="Times New Roman"/>
                <w:lang w:val="de-DE"/>
              </w:rPr>
              <w:t xml:space="preserve">Die mechanischen Teile von </w:t>
            </w:r>
            <w:r>
              <w:rPr>
                <w:rFonts w:ascii="Times New Roman" w:hAnsi="Times New Roman" w:cs="Times New Roman"/>
                <w:lang w:val="de-DE"/>
              </w:rPr>
              <w:t>Kranen und Serienhebe</w:t>
            </w:r>
            <w:r w:rsidRPr="009F00A5">
              <w:rPr>
                <w:rFonts w:ascii="Times New Roman" w:hAnsi="Times New Roman" w:cs="Times New Roman"/>
                <w:lang w:val="de-DE"/>
              </w:rPr>
              <w:t xml:space="preserve">zeugen, also auch die Seiltriebe, sollen entsprechend ihrer Betriebsweise in eine „Triebwerkgruppe“ nach Tabelle 1 eingestuft werden, damit sie eine ausreichend lange Benutzungsdauer (bei Drahtseilen: </w:t>
            </w:r>
            <w:proofErr w:type="spellStart"/>
            <w:r w:rsidRPr="009F00A5">
              <w:rPr>
                <w:rFonts w:ascii="Times New Roman" w:hAnsi="Times New Roman" w:cs="Times New Roman"/>
                <w:lang w:val="de-DE"/>
              </w:rPr>
              <w:t>Aufliegezeit</w:t>
            </w:r>
            <w:proofErr w:type="spellEnd"/>
            <w:r w:rsidRPr="009F00A5">
              <w:rPr>
                <w:rFonts w:ascii="Times New Roman" w:hAnsi="Times New Roman" w:cs="Times New Roman"/>
                <w:lang w:val="de-DE"/>
              </w:rPr>
              <w:t>) erreichen. Die Einstufung erfolgt nach Laufzeitklassen, mit denen die mittlere Laufzeit des Seiltriebes, und nach Lastkollektiven, mit denen die relative Höhe der Belastung bzw. die Häufigkeit der</w:t>
            </w:r>
            <w:r>
              <w:rPr>
                <w:rFonts w:ascii="Times New Roman" w:hAnsi="Times New Roman" w:cs="Times New Roman"/>
                <w:lang w:val="de-DE"/>
              </w:rPr>
              <w:t xml:space="preserve"> </w:t>
            </w:r>
            <w:proofErr w:type="spellStart"/>
            <w:r>
              <w:rPr>
                <w:rFonts w:ascii="Times New Roman" w:hAnsi="Times New Roman" w:cs="Times New Roman"/>
                <w:lang w:val="de-DE"/>
              </w:rPr>
              <w:t>Vollast</w:t>
            </w:r>
            <w:proofErr w:type="spellEnd"/>
            <w:r>
              <w:rPr>
                <w:rFonts w:ascii="Times New Roman" w:hAnsi="Times New Roman" w:cs="Times New Roman"/>
                <w:lang w:val="de-DE"/>
              </w:rPr>
              <w:t xml:space="preserve"> berücksichtigt werden.</w:t>
            </w:r>
          </w:p>
        </w:tc>
        <w:tc>
          <w:tcPr>
            <w:tcW w:w="5353" w:type="dxa"/>
          </w:tcPr>
          <w:p w:rsidR="009F00A5" w:rsidRPr="003467E0" w:rsidRDefault="009F00A5" w:rsidP="005F403A">
            <w:pPr>
              <w:rPr>
                <w:rFonts w:ascii="Times New Roman" w:hAnsi="Times New Roman" w:cs="Times New Roman"/>
                <w:sz w:val="20"/>
                <w:szCs w:val="20"/>
                <w:lang w:val="de-DE"/>
              </w:rPr>
            </w:pPr>
          </w:p>
        </w:tc>
      </w:tr>
    </w:tbl>
    <w:p w:rsidR="00365FA9" w:rsidRDefault="00365FA9" w:rsidP="00441817">
      <w:pPr>
        <w:spacing w:after="0"/>
        <w:rPr>
          <w:rFonts w:ascii="Times New Roman" w:hAnsi="Times New Roman" w:cs="Times New Roman"/>
          <w:lang w:val="de-DE"/>
        </w:rPr>
        <w:sectPr w:rsidR="00365FA9" w:rsidSect="00EC2ADE">
          <w:pgSz w:w="11906" w:h="16838"/>
          <w:pgMar w:top="426" w:right="850" w:bottom="851" w:left="567" w:header="708" w:footer="708" w:gutter="0"/>
          <w:cols w:space="708"/>
          <w:docGrid w:linePitch="360"/>
        </w:sectPr>
      </w:pPr>
    </w:p>
    <w:tbl>
      <w:tblPr>
        <w:tblStyle w:val="a3"/>
        <w:tblW w:w="0" w:type="auto"/>
        <w:tblLook w:val="04A0" w:firstRow="1" w:lastRow="0" w:firstColumn="1" w:lastColumn="0" w:noHBand="0" w:noVBand="1"/>
      </w:tblPr>
      <w:tblGrid>
        <w:gridCol w:w="5352"/>
        <w:gridCol w:w="5353"/>
      </w:tblGrid>
      <w:tr w:rsidR="00365FA9" w:rsidRPr="003467E0" w:rsidTr="00D76FCE">
        <w:tc>
          <w:tcPr>
            <w:tcW w:w="5352" w:type="dxa"/>
            <w:vAlign w:val="center"/>
          </w:tcPr>
          <w:p w:rsidR="00365FA9" w:rsidRPr="00365FA9" w:rsidRDefault="00365FA9" w:rsidP="00365FA9">
            <w:pPr>
              <w:jc w:val="center"/>
              <w:rPr>
                <w:rFonts w:ascii="Times New Roman" w:hAnsi="Times New Roman" w:cs="Times New Roman"/>
              </w:rPr>
            </w:pPr>
            <w:proofErr w:type="spellStart"/>
            <w:r w:rsidRPr="003467E0">
              <w:rPr>
                <w:rFonts w:ascii="Times New Roman" w:hAnsi="Times New Roman" w:cs="Times New Roman"/>
                <w:lang w:val="de-DE"/>
              </w:rPr>
              <w:lastRenderedPageBreak/>
              <w:t>Текст</w:t>
            </w:r>
            <w:proofErr w:type="spellEnd"/>
            <w:r w:rsidRPr="003467E0">
              <w:rPr>
                <w:rFonts w:ascii="Times New Roman" w:hAnsi="Times New Roman" w:cs="Times New Roman"/>
                <w:lang w:val="de-DE"/>
              </w:rPr>
              <w:t xml:space="preserve"> </w:t>
            </w:r>
            <w:proofErr w:type="spellStart"/>
            <w:r w:rsidRPr="003467E0">
              <w:rPr>
                <w:rFonts w:ascii="Times New Roman" w:hAnsi="Times New Roman" w:cs="Times New Roman"/>
                <w:lang w:val="de-DE"/>
              </w:rPr>
              <w:t>на</w:t>
            </w:r>
            <w:proofErr w:type="spellEnd"/>
            <w:r>
              <w:rPr>
                <w:rFonts w:ascii="Times New Roman" w:hAnsi="Times New Roman" w:cs="Times New Roman"/>
              </w:rPr>
              <w:t xml:space="preserve"> русском</w:t>
            </w:r>
          </w:p>
        </w:tc>
        <w:tc>
          <w:tcPr>
            <w:tcW w:w="5353" w:type="dxa"/>
            <w:vAlign w:val="center"/>
          </w:tcPr>
          <w:p w:rsidR="00365FA9" w:rsidRPr="00365FA9" w:rsidRDefault="00365FA9" w:rsidP="00365FA9">
            <w:pPr>
              <w:jc w:val="center"/>
              <w:rPr>
                <w:rFonts w:ascii="Times New Roman" w:hAnsi="Times New Roman" w:cs="Times New Roman"/>
              </w:rPr>
            </w:pPr>
            <w:proofErr w:type="spellStart"/>
            <w:r w:rsidRPr="003467E0">
              <w:rPr>
                <w:rFonts w:ascii="Times New Roman" w:hAnsi="Times New Roman" w:cs="Times New Roman"/>
                <w:lang w:val="de-DE"/>
              </w:rPr>
              <w:t>Перевод</w:t>
            </w:r>
            <w:proofErr w:type="spellEnd"/>
            <w:r w:rsidRPr="003467E0">
              <w:rPr>
                <w:rFonts w:ascii="Times New Roman" w:hAnsi="Times New Roman" w:cs="Times New Roman"/>
                <w:lang w:val="de-DE"/>
              </w:rPr>
              <w:t xml:space="preserve"> </w:t>
            </w:r>
            <w:proofErr w:type="spellStart"/>
            <w:r w:rsidRPr="003467E0">
              <w:rPr>
                <w:rFonts w:ascii="Times New Roman" w:hAnsi="Times New Roman" w:cs="Times New Roman"/>
                <w:lang w:val="de-DE"/>
              </w:rPr>
              <w:t>на</w:t>
            </w:r>
            <w:proofErr w:type="spellEnd"/>
            <w:r w:rsidRPr="003467E0">
              <w:rPr>
                <w:rFonts w:ascii="Times New Roman" w:hAnsi="Times New Roman" w:cs="Times New Roman"/>
                <w:lang w:val="de-DE"/>
              </w:rPr>
              <w:t xml:space="preserve"> </w:t>
            </w:r>
            <w:r>
              <w:rPr>
                <w:rFonts w:ascii="Times New Roman" w:hAnsi="Times New Roman" w:cs="Times New Roman"/>
              </w:rPr>
              <w:t>немецкий</w:t>
            </w:r>
          </w:p>
        </w:tc>
      </w:tr>
      <w:tr w:rsidR="00365FA9" w:rsidRPr="00161B26" w:rsidTr="00D76FCE">
        <w:tc>
          <w:tcPr>
            <w:tcW w:w="5352" w:type="dxa"/>
          </w:tcPr>
          <w:p w:rsidR="00365FA9" w:rsidRPr="00161B26" w:rsidRDefault="00365FA9" w:rsidP="00161B26">
            <w:pPr>
              <w:pStyle w:val="a5"/>
              <w:jc w:val="both"/>
              <w:rPr>
                <w:rFonts w:ascii="Times New Roman" w:hAnsi="Times New Roman" w:cs="Times New Roman"/>
                <w:sz w:val="22"/>
                <w:szCs w:val="22"/>
                <w:lang w:val="ru-RU"/>
              </w:rPr>
            </w:pPr>
            <w:r w:rsidRPr="00161B26">
              <w:rPr>
                <w:rFonts w:ascii="Times New Roman" w:hAnsi="Times New Roman" w:cs="Times New Roman"/>
                <w:sz w:val="22"/>
                <w:szCs w:val="22"/>
                <w:lang w:val="ru-RU"/>
              </w:rPr>
              <w:t xml:space="preserve">Истица обратилась к ответчику с иском о расторжении брака. Свои требования мотивирует тем, что состоит с </w:t>
            </w:r>
            <w:r w:rsidR="00161B26">
              <w:rPr>
                <w:rFonts w:ascii="Times New Roman" w:hAnsi="Times New Roman" w:cs="Times New Roman"/>
                <w:sz w:val="22"/>
                <w:szCs w:val="22"/>
                <w:lang w:val="ru-RU"/>
              </w:rPr>
              <w:t>Ивановым А.В</w:t>
            </w:r>
            <w:r w:rsidRPr="00161B26">
              <w:rPr>
                <w:rFonts w:ascii="Times New Roman" w:hAnsi="Times New Roman" w:cs="Times New Roman"/>
                <w:sz w:val="22"/>
                <w:szCs w:val="22"/>
                <w:lang w:val="ru-RU"/>
              </w:rPr>
              <w:t>.</w:t>
            </w:r>
            <w:r w:rsidR="00161B26">
              <w:rPr>
                <w:rFonts w:ascii="Times New Roman" w:hAnsi="Times New Roman" w:cs="Times New Roman"/>
                <w:sz w:val="22"/>
                <w:szCs w:val="22"/>
                <w:lang w:val="ru-RU"/>
              </w:rPr>
              <w:t xml:space="preserve"> в зарегистрированном браке с 20</w:t>
            </w:r>
            <w:r w:rsidRPr="00161B26">
              <w:rPr>
                <w:rFonts w:ascii="Times New Roman" w:hAnsi="Times New Roman" w:cs="Times New Roman"/>
                <w:sz w:val="22"/>
                <w:szCs w:val="22"/>
                <w:lang w:val="ru-RU"/>
              </w:rPr>
              <w:t xml:space="preserve"> </w:t>
            </w:r>
            <w:r w:rsidR="00161B26">
              <w:rPr>
                <w:rFonts w:ascii="Times New Roman" w:hAnsi="Times New Roman" w:cs="Times New Roman"/>
                <w:sz w:val="22"/>
                <w:szCs w:val="22"/>
                <w:lang w:val="ru-RU"/>
              </w:rPr>
              <w:t>сентября</w:t>
            </w:r>
            <w:r w:rsidRPr="00161B26">
              <w:rPr>
                <w:rFonts w:ascii="Times New Roman" w:hAnsi="Times New Roman" w:cs="Times New Roman"/>
                <w:sz w:val="22"/>
                <w:szCs w:val="22"/>
                <w:lang w:val="ru-RU"/>
              </w:rPr>
              <w:t xml:space="preserve"> </w:t>
            </w:r>
            <w:r w:rsidR="00161B26">
              <w:rPr>
                <w:rFonts w:ascii="Times New Roman" w:hAnsi="Times New Roman" w:cs="Times New Roman"/>
                <w:sz w:val="22"/>
                <w:szCs w:val="22"/>
                <w:lang w:val="ru-RU"/>
              </w:rPr>
              <w:t>1998</w:t>
            </w:r>
            <w:r w:rsidRPr="00161B26">
              <w:rPr>
                <w:rFonts w:ascii="Times New Roman" w:hAnsi="Times New Roman" w:cs="Times New Roman"/>
                <w:sz w:val="22"/>
                <w:szCs w:val="22"/>
                <w:lang w:val="ru-RU"/>
              </w:rPr>
              <w:t xml:space="preserve"> года. От данного брака имеют одного несовершеннолетнего ребёнка</w:t>
            </w:r>
            <w:r w:rsidR="00161B26">
              <w:rPr>
                <w:rFonts w:ascii="Times New Roman" w:hAnsi="Times New Roman" w:cs="Times New Roman"/>
                <w:sz w:val="22"/>
                <w:szCs w:val="22"/>
                <w:lang w:val="ru-RU"/>
              </w:rPr>
              <w:t>,</w:t>
            </w:r>
            <w:r w:rsidRPr="00161B26">
              <w:rPr>
                <w:rFonts w:ascii="Times New Roman" w:hAnsi="Times New Roman" w:cs="Times New Roman"/>
                <w:sz w:val="22"/>
                <w:szCs w:val="22"/>
                <w:lang w:val="ru-RU"/>
              </w:rPr>
              <w:t xml:space="preserve"> </w:t>
            </w:r>
            <w:r w:rsidR="00161B26">
              <w:rPr>
                <w:rFonts w:ascii="Times New Roman" w:hAnsi="Times New Roman" w:cs="Times New Roman"/>
                <w:sz w:val="22"/>
                <w:szCs w:val="22"/>
                <w:lang w:val="ru-RU"/>
              </w:rPr>
              <w:t>сына</w:t>
            </w:r>
            <w:r w:rsidRPr="00161B26">
              <w:rPr>
                <w:rFonts w:ascii="Times New Roman" w:hAnsi="Times New Roman" w:cs="Times New Roman"/>
                <w:sz w:val="22"/>
                <w:szCs w:val="22"/>
                <w:lang w:val="ru-RU"/>
              </w:rPr>
              <w:t xml:space="preserve"> </w:t>
            </w:r>
            <w:r w:rsidR="00161B26">
              <w:rPr>
                <w:rFonts w:ascii="Times New Roman" w:hAnsi="Times New Roman" w:cs="Times New Roman"/>
                <w:sz w:val="22"/>
                <w:szCs w:val="22"/>
                <w:lang w:val="ru-RU"/>
              </w:rPr>
              <w:t>Дмитрия, 01.01.2000</w:t>
            </w:r>
            <w:r w:rsidRPr="00161B26">
              <w:rPr>
                <w:rFonts w:ascii="Times New Roman" w:hAnsi="Times New Roman" w:cs="Times New Roman"/>
                <w:sz w:val="22"/>
                <w:szCs w:val="22"/>
                <w:lang w:val="ru-RU"/>
              </w:rPr>
              <w:t xml:space="preserve"> года рождения. Совместная жизнь с ответчиком не сложилась из-за постоянных скандалов. Дальнейшую совместную жизнь и сохранение семьи считает невозможными, поэтому просит расторгнуть брак с </w:t>
            </w:r>
            <w:r w:rsidR="00161B26">
              <w:rPr>
                <w:rFonts w:ascii="Times New Roman" w:hAnsi="Times New Roman" w:cs="Times New Roman"/>
                <w:sz w:val="22"/>
                <w:szCs w:val="22"/>
                <w:lang w:val="ru-RU"/>
              </w:rPr>
              <w:t>ответчиком</w:t>
            </w:r>
            <w:r w:rsidRPr="00161B26">
              <w:rPr>
                <w:rFonts w:ascii="Times New Roman" w:hAnsi="Times New Roman" w:cs="Times New Roman"/>
                <w:sz w:val="22"/>
                <w:szCs w:val="22"/>
                <w:lang w:val="ru-RU"/>
              </w:rPr>
              <w:t>.</w:t>
            </w:r>
          </w:p>
          <w:p w:rsidR="00365FA9" w:rsidRPr="00161B26" w:rsidRDefault="00365FA9" w:rsidP="00161B26">
            <w:pPr>
              <w:pStyle w:val="a5"/>
              <w:jc w:val="both"/>
              <w:rPr>
                <w:lang w:val="ru-RU"/>
              </w:rPr>
            </w:pPr>
            <w:r w:rsidRPr="00161B26">
              <w:rPr>
                <w:rFonts w:ascii="Times New Roman" w:hAnsi="Times New Roman" w:cs="Times New Roman"/>
                <w:sz w:val="22"/>
                <w:szCs w:val="22"/>
                <w:lang w:val="ru-RU"/>
              </w:rPr>
              <w:t xml:space="preserve">Ответчик в судебное заседание не явился, о месте и времени рассмотрения дела извещен надлежаще. Выслушав истицу, исследовав письменные материалы дела, суд полагает иск </w:t>
            </w:r>
            <w:r w:rsidR="00161B26">
              <w:rPr>
                <w:rFonts w:ascii="Times New Roman" w:hAnsi="Times New Roman" w:cs="Times New Roman"/>
                <w:sz w:val="22"/>
                <w:szCs w:val="22"/>
                <w:lang w:val="ru-RU"/>
              </w:rPr>
              <w:t>Ивановой Т.З</w:t>
            </w:r>
            <w:r w:rsidRPr="00161B26">
              <w:rPr>
                <w:rFonts w:ascii="Times New Roman" w:hAnsi="Times New Roman" w:cs="Times New Roman"/>
                <w:sz w:val="22"/>
                <w:szCs w:val="22"/>
                <w:lang w:val="ru-RU"/>
              </w:rPr>
              <w:t>. о расторжении брака подлежащим удовлетворению.</w:t>
            </w:r>
          </w:p>
        </w:tc>
        <w:tc>
          <w:tcPr>
            <w:tcW w:w="5353" w:type="dxa"/>
          </w:tcPr>
          <w:p w:rsidR="00365FA9" w:rsidRPr="00161B26" w:rsidRDefault="00365FA9" w:rsidP="008D4DD8">
            <w:pPr>
              <w:pStyle w:val="a4"/>
              <w:ind w:left="0"/>
              <w:rPr>
                <w:rFonts w:ascii="Times New Roman" w:hAnsi="Times New Roman" w:cs="Times New Roman"/>
              </w:rPr>
            </w:pPr>
          </w:p>
        </w:tc>
      </w:tr>
      <w:tr w:rsidR="008D4DD8" w:rsidRPr="00161B26" w:rsidTr="00D76FCE">
        <w:tc>
          <w:tcPr>
            <w:tcW w:w="5352" w:type="dxa"/>
          </w:tcPr>
          <w:p w:rsidR="008D4DD8" w:rsidRPr="00161B26" w:rsidRDefault="00794051" w:rsidP="00EB3DC3">
            <w:pPr>
              <w:pStyle w:val="a5"/>
              <w:jc w:val="both"/>
              <w:rPr>
                <w:rFonts w:ascii="Times New Roman" w:hAnsi="Times New Roman" w:cs="Times New Roman"/>
                <w:sz w:val="22"/>
                <w:szCs w:val="22"/>
                <w:lang w:val="ru-RU"/>
              </w:rPr>
            </w:pPr>
            <w:r w:rsidRPr="00794051">
              <w:rPr>
                <w:rFonts w:ascii="Times New Roman" w:hAnsi="Times New Roman" w:cs="Times New Roman"/>
                <w:sz w:val="22"/>
                <w:szCs w:val="22"/>
                <w:lang w:val="ru-RU"/>
              </w:rPr>
              <w:t>следить за техническим состоянием транспортного средства, быть моим представителем в ГИБДД, с правом прохождения с правом получения акта ТО,</w:t>
            </w:r>
            <w:r w:rsidR="00EB3DC3">
              <w:rPr>
                <w:rFonts w:ascii="Times New Roman" w:hAnsi="Times New Roman" w:cs="Times New Roman"/>
                <w:sz w:val="22"/>
                <w:szCs w:val="22"/>
                <w:lang w:val="ru-RU"/>
              </w:rPr>
              <w:t xml:space="preserve"> </w:t>
            </w:r>
            <w:r w:rsidR="00EB3DC3" w:rsidRPr="00EB3DC3">
              <w:rPr>
                <w:rFonts w:ascii="Times New Roman" w:hAnsi="Times New Roman" w:cs="Times New Roman"/>
                <w:sz w:val="22"/>
                <w:szCs w:val="22"/>
                <w:lang w:val="ru-RU"/>
              </w:rPr>
              <w:t>с правом</w:t>
            </w:r>
            <w:r w:rsidR="00EB3DC3" w:rsidRPr="00EB3DC3">
              <w:rPr>
                <w:lang w:val="ru-RU"/>
              </w:rPr>
              <w:t xml:space="preserve"> </w:t>
            </w:r>
            <w:r w:rsidR="00EB3DC3" w:rsidRPr="00EB3DC3">
              <w:rPr>
                <w:rFonts w:ascii="Times New Roman" w:hAnsi="Times New Roman" w:cs="Times New Roman"/>
                <w:sz w:val="22"/>
                <w:szCs w:val="22"/>
                <w:lang w:val="ru-RU"/>
              </w:rPr>
              <w:t>регистрации в органах получения новых и дубликатов</w:t>
            </w:r>
            <w:r w:rsidR="00EB3DC3">
              <w:rPr>
                <w:rFonts w:ascii="Times New Roman" w:hAnsi="Times New Roman" w:cs="Times New Roman"/>
                <w:sz w:val="22"/>
                <w:szCs w:val="22"/>
                <w:lang w:val="ru-RU"/>
              </w:rPr>
              <w:t xml:space="preserve"> регис</w:t>
            </w:r>
            <w:r w:rsidR="00EB3DC3" w:rsidRPr="00EB3DC3">
              <w:rPr>
                <w:rFonts w:ascii="Times New Roman" w:hAnsi="Times New Roman" w:cs="Times New Roman"/>
                <w:sz w:val="22"/>
                <w:szCs w:val="22"/>
                <w:lang w:val="ru-RU"/>
              </w:rPr>
              <w:t>трационных документов (Свидетельство о регистрации ТС), продажи за цену и на условиях по своему усмотрению, мены, получения денег, залога, аренды, с правом заключения договора страхования, внесения в действующий договор страхования изменений, а также расторжения и получения денежных средств при его расторжении, внесения в страховой полис иных лиц. допущенных к управлению ГС, получения страхового возмещения, утилизации и выбраковки ТС, получения свидетельств и других технических документов на высвободившиеся номерные узлы и агрегаты,</w:t>
            </w:r>
          </w:p>
        </w:tc>
        <w:tc>
          <w:tcPr>
            <w:tcW w:w="5353" w:type="dxa"/>
          </w:tcPr>
          <w:p w:rsidR="008D4DD8" w:rsidRPr="00161B26" w:rsidRDefault="008D4DD8" w:rsidP="008D4DD8">
            <w:pPr>
              <w:pStyle w:val="a4"/>
              <w:ind w:left="0"/>
              <w:rPr>
                <w:rFonts w:ascii="Times New Roman" w:hAnsi="Times New Roman" w:cs="Times New Roman"/>
              </w:rPr>
            </w:pPr>
          </w:p>
        </w:tc>
      </w:tr>
      <w:tr w:rsidR="00DE70D1" w:rsidRPr="00161B26" w:rsidTr="00D76FCE">
        <w:tc>
          <w:tcPr>
            <w:tcW w:w="5352" w:type="dxa"/>
          </w:tcPr>
          <w:p w:rsidR="00DE70D1" w:rsidRPr="00DE70D1" w:rsidRDefault="00DE70D1" w:rsidP="00DE70D1">
            <w:pPr>
              <w:pStyle w:val="a5"/>
              <w:jc w:val="both"/>
              <w:rPr>
                <w:rFonts w:ascii="Times New Roman" w:hAnsi="Times New Roman" w:cs="Times New Roman"/>
                <w:sz w:val="22"/>
                <w:szCs w:val="22"/>
                <w:lang w:val="ru-RU"/>
              </w:rPr>
            </w:pPr>
            <w:r w:rsidRPr="00DE70D1">
              <w:rPr>
                <w:rFonts w:ascii="Times New Roman" w:hAnsi="Times New Roman" w:cs="Times New Roman"/>
                <w:sz w:val="22"/>
                <w:szCs w:val="22"/>
                <w:lang w:val="ru-RU"/>
              </w:rPr>
              <w:t>В молочных железах без узловых образований и очагового повышения накопления РФП.</w:t>
            </w:r>
          </w:p>
          <w:p w:rsidR="00DE70D1" w:rsidRPr="00DE70D1" w:rsidRDefault="00DE70D1" w:rsidP="00DE70D1">
            <w:pPr>
              <w:pStyle w:val="a5"/>
              <w:jc w:val="both"/>
              <w:rPr>
                <w:rFonts w:ascii="Times New Roman" w:hAnsi="Times New Roman" w:cs="Times New Roman"/>
                <w:sz w:val="22"/>
                <w:szCs w:val="22"/>
                <w:lang w:val="ru-RU"/>
              </w:rPr>
            </w:pPr>
            <w:r w:rsidRPr="00DE70D1">
              <w:rPr>
                <w:rFonts w:ascii="Times New Roman" w:hAnsi="Times New Roman" w:cs="Times New Roman"/>
                <w:sz w:val="22"/>
                <w:szCs w:val="22"/>
                <w:lang w:val="ru-RU"/>
              </w:rPr>
              <w:t>В легких без динамики - патологические очаговые образования и инфильтративные изменения не выявлены (фиброзные изменения в верхушке справа без динамики). Просветы трахеи и крупных бронхов не изменены. Жидкость в плевральных полостях и полости перикарда не определяется. Корни легких не расширены. Органы средостения без особенностей, увеличенные медиастинальные лимфоузлы не определяются.</w:t>
            </w:r>
          </w:p>
          <w:p w:rsidR="00DE70D1" w:rsidRPr="00794051" w:rsidRDefault="00DE70D1" w:rsidP="00DE70D1">
            <w:pPr>
              <w:pStyle w:val="a5"/>
              <w:jc w:val="both"/>
              <w:rPr>
                <w:rFonts w:ascii="Times New Roman" w:hAnsi="Times New Roman" w:cs="Times New Roman"/>
                <w:sz w:val="22"/>
                <w:szCs w:val="22"/>
                <w:lang w:val="ru-RU"/>
              </w:rPr>
            </w:pPr>
            <w:r w:rsidRPr="00DE70D1">
              <w:rPr>
                <w:rFonts w:ascii="Times New Roman" w:hAnsi="Times New Roman" w:cs="Times New Roman"/>
                <w:sz w:val="22"/>
                <w:szCs w:val="22"/>
                <w:lang w:val="ru-RU"/>
              </w:rPr>
              <w:t>Печень в размерах не увеличена.</w:t>
            </w:r>
          </w:p>
        </w:tc>
        <w:tc>
          <w:tcPr>
            <w:tcW w:w="5353" w:type="dxa"/>
          </w:tcPr>
          <w:p w:rsidR="00DE70D1" w:rsidRPr="00161B26" w:rsidRDefault="00DE70D1" w:rsidP="008D4DD8">
            <w:pPr>
              <w:pStyle w:val="a4"/>
              <w:ind w:left="0"/>
              <w:rPr>
                <w:rFonts w:ascii="Times New Roman" w:hAnsi="Times New Roman" w:cs="Times New Roman"/>
              </w:rPr>
            </w:pPr>
          </w:p>
        </w:tc>
      </w:tr>
      <w:tr w:rsidR="0071345F" w:rsidRPr="00161B26" w:rsidTr="00D76FCE">
        <w:tc>
          <w:tcPr>
            <w:tcW w:w="5352" w:type="dxa"/>
          </w:tcPr>
          <w:p w:rsidR="0071345F" w:rsidRPr="0071345F" w:rsidRDefault="0071345F" w:rsidP="0071345F">
            <w:pPr>
              <w:pStyle w:val="a5"/>
              <w:jc w:val="both"/>
              <w:rPr>
                <w:rFonts w:ascii="Times New Roman" w:hAnsi="Times New Roman" w:cs="Times New Roman"/>
                <w:sz w:val="22"/>
                <w:szCs w:val="22"/>
                <w:lang w:val="ru-RU"/>
              </w:rPr>
            </w:pPr>
            <w:r w:rsidRPr="0071345F">
              <w:rPr>
                <w:rFonts w:ascii="Times New Roman" w:hAnsi="Times New Roman" w:cs="Times New Roman"/>
                <w:sz w:val="22"/>
                <w:szCs w:val="22"/>
                <w:lang w:val="ru-RU"/>
              </w:rPr>
              <w:t>Композиционные антифрикционные покрытия успешно применяются для снижения</w:t>
            </w:r>
            <w:r>
              <w:rPr>
                <w:rFonts w:ascii="Times New Roman" w:hAnsi="Times New Roman" w:cs="Times New Roman"/>
                <w:sz w:val="22"/>
                <w:szCs w:val="22"/>
                <w:lang w:val="ru-RU"/>
              </w:rPr>
              <w:t xml:space="preserve"> </w:t>
            </w:r>
            <w:r w:rsidRPr="0071345F">
              <w:rPr>
                <w:rFonts w:ascii="Times New Roman" w:hAnsi="Times New Roman" w:cs="Times New Roman"/>
                <w:sz w:val="22"/>
                <w:szCs w:val="22"/>
                <w:lang w:val="ru-RU"/>
              </w:rPr>
              <w:t>трения и износа в узлах машин и механизмов. В промышленности применяется большое</w:t>
            </w:r>
            <w:r>
              <w:rPr>
                <w:rFonts w:ascii="Times New Roman" w:hAnsi="Times New Roman" w:cs="Times New Roman"/>
                <w:sz w:val="22"/>
                <w:szCs w:val="22"/>
                <w:lang w:val="ru-RU"/>
              </w:rPr>
              <w:t xml:space="preserve"> </w:t>
            </w:r>
            <w:r w:rsidRPr="0071345F">
              <w:rPr>
                <w:rFonts w:ascii="Times New Roman" w:hAnsi="Times New Roman" w:cs="Times New Roman"/>
                <w:sz w:val="22"/>
                <w:szCs w:val="22"/>
                <w:lang w:val="ru-RU"/>
              </w:rPr>
              <w:t xml:space="preserve">количество покрытий и особенно следует отметить </w:t>
            </w:r>
            <w:r>
              <w:rPr>
                <w:rFonts w:ascii="Times New Roman" w:hAnsi="Times New Roman" w:cs="Times New Roman"/>
                <w:sz w:val="22"/>
                <w:szCs w:val="22"/>
                <w:lang w:val="ru-RU"/>
              </w:rPr>
              <w:t>твердые смазочные покрытия</w:t>
            </w:r>
            <w:r w:rsidRPr="0071345F">
              <w:rPr>
                <w:rFonts w:ascii="Times New Roman" w:hAnsi="Times New Roman" w:cs="Times New Roman"/>
                <w:sz w:val="22"/>
                <w:szCs w:val="22"/>
                <w:lang w:val="ru-RU"/>
              </w:rPr>
              <w:t>.</w:t>
            </w:r>
          </w:p>
          <w:p w:rsidR="0071345F" w:rsidRPr="0071345F" w:rsidRDefault="0071345F" w:rsidP="0071345F">
            <w:pPr>
              <w:pStyle w:val="a5"/>
              <w:jc w:val="both"/>
              <w:rPr>
                <w:rFonts w:ascii="Times New Roman" w:hAnsi="Times New Roman" w:cs="Times New Roman"/>
                <w:sz w:val="22"/>
                <w:szCs w:val="22"/>
                <w:lang w:val="ru-RU"/>
              </w:rPr>
            </w:pPr>
            <w:r w:rsidRPr="0071345F">
              <w:rPr>
                <w:rFonts w:ascii="Times New Roman" w:hAnsi="Times New Roman" w:cs="Times New Roman"/>
                <w:sz w:val="22"/>
                <w:szCs w:val="22"/>
                <w:lang w:val="ru-RU"/>
              </w:rPr>
              <w:t>При конструировании узла трения необходимо заранее разрабатывать покрытие в</w:t>
            </w:r>
            <w:r>
              <w:rPr>
                <w:rFonts w:ascii="Times New Roman" w:hAnsi="Times New Roman" w:cs="Times New Roman"/>
                <w:sz w:val="22"/>
                <w:szCs w:val="22"/>
                <w:lang w:val="ru-RU"/>
              </w:rPr>
              <w:t xml:space="preserve"> </w:t>
            </w:r>
            <w:r w:rsidRPr="0071345F">
              <w:rPr>
                <w:rFonts w:ascii="Times New Roman" w:hAnsi="Times New Roman" w:cs="Times New Roman"/>
                <w:sz w:val="22"/>
                <w:szCs w:val="22"/>
                <w:lang w:val="ru-RU"/>
              </w:rPr>
              <w:t>зависимости от условий работы, назначения, заданного ресурса, а также возможных физико-химических реакц</w:t>
            </w:r>
            <w:r>
              <w:rPr>
                <w:rFonts w:ascii="Times New Roman" w:hAnsi="Times New Roman" w:cs="Times New Roman"/>
                <w:sz w:val="22"/>
                <w:szCs w:val="22"/>
                <w:lang w:val="ru-RU"/>
              </w:rPr>
              <w:t>ий в зоне трения</w:t>
            </w:r>
            <w:r w:rsidRPr="0071345F">
              <w:rPr>
                <w:rFonts w:ascii="Times New Roman" w:hAnsi="Times New Roman" w:cs="Times New Roman"/>
                <w:sz w:val="22"/>
                <w:szCs w:val="22"/>
                <w:lang w:val="ru-RU"/>
              </w:rPr>
              <w:t>.</w:t>
            </w:r>
          </w:p>
          <w:p w:rsidR="0071345F" w:rsidRPr="00DE70D1" w:rsidRDefault="0071345F" w:rsidP="0071345F">
            <w:pPr>
              <w:pStyle w:val="a5"/>
              <w:jc w:val="both"/>
              <w:rPr>
                <w:rFonts w:ascii="Times New Roman" w:hAnsi="Times New Roman" w:cs="Times New Roman"/>
                <w:sz w:val="22"/>
                <w:szCs w:val="22"/>
                <w:lang w:val="ru-RU"/>
              </w:rPr>
            </w:pPr>
            <w:r w:rsidRPr="0071345F">
              <w:rPr>
                <w:rFonts w:ascii="Times New Roman" w:hAnsi="Times New Roman" w:cs="Times New Roman"/>
                <w:sz w:val="22"/>
                <w:szCs w:val="22"/>
                <w:lang w:val="ru-RU"/>
              </w:rPr>
              <w:t>Известно, что применение идеологии фазово-разупорядоченного состояния поверхности,</w:t>
            </w:r>
            <w:r>
              <w:rPr>
                <w:rFonts w:ascii="Times New Roman" w:hAnsi="Times New Roman" w:cs="Times New Roman"/>
                <w:sz w:val="22"/>
                <w:szCs w:val="22"/>
                <w:lang w:val="ru-RU"/>
              </w:rPr>
              <w:t xml:space="preserve"> </w:t>
            </w:r>
            <w:r w:rsidRPr="0071345F">
              <w:rPr>
                <w:rFonts w:ascii="Times New Roman" w:hAnsi="Times New Roman" w:cs="Times New Roman"/>
                <w:sz w:val="22"/>
                <w:szCs w:val="22"/>
                <w:lang w:val="ru-RU"/>
              </w:rPr>
              <w:t>участвующей в трении, позволяет создавать покрытия с заданными свойствами под конкретный</w:t>
            </w:r>
            <w:r>
              <w:rPr>
                <w:rFonts w:ascii="Times New Roman" w:hAnsi="Times New Roman" w:cs="Times New Roman"/>
                <w:sz w:val="22"/>
                <w:szCs w:val="22"/>
                <w:lang w:val="ru-RU"/>
              </w:rPr>
              <w:t xml:space="preserve"> конструктивный узел.</w:t>
            </w:r>
            <w:bookmarkStart w:id="0" w:name="_GoBack"/>
            <w:bookmarkEnd w:id="0"/>
          </w:p>
        </w:tc>
        <w:tc>
          <w:tcPr>
            <w:tcW w:w="5353" w:type="dxa"/>
          </w:tcPr>
          <w:p w:rsidR="0071345F" w:rsidRPr="00161B26" w:rsidRDefault="0071345F" w:rsidP="008D4DD8">
            <w:pPr>
              <w:pStyle w:val="a4"/>
              <w:ind w:left="0"/>
              <w:rPr>
                <w:rFonts w:ascii="Times New Roman" w:hAnsi="Times New Roman" w:cs="Times New Roman"/>
              </w:rPr>
            </w:pPr>
          </w:p>
        </w:tc>
      </w:tr>
    </w:tbl>
    <w:p w:rsidR="00C44BBE" w:rsidRPr="00161B26" w:rsidRDefault="00C44BBE" w:rsidP="00441817">
      <w:pPr>
        <w:spacing w:after="0"/>
        <w:rPr>
          <w:rFonts w:ascii="Times New Roman" w:hAnsi="Times New Roman" w:cs="Times New Roman"/>
        </w:rPr>
      </w:pPr>
    </w:p>
    <w:sectPr w:rsidR="00C44BBE" w:rsidRPr="00161B26" w:rsidSect="00EC2ADE">
      <w:pgSz w:w="11906" w:h="16838"/>
      <w:pgMar w:top="426" w:right="85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B2379"/>
    <w:multiLevelType w:val="hybridMultilevel"/>
    <w:tmpl w:val="14C66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AC6B67"/>
    <w:multiLevelType w:val="singleLevel"/>
    <w:tmpl w:val="596E5944"/>
    <w:lvl w:ilvl="0">
      <w:start w:val="2"/>
      <w:numFmt w:val="decimal"/>
      <w:lvlText w:val="%1."/>
      <w:legacy w:legacy="1" w:legacySpace="0" w:legacyIndent="264"/>
      <w:lvlJc w:val="left"/>
      <w:rPr>
        <w:rFonts w:ascii="Times New Roman" w:hAnsi="Times New Roman" w:cs="Times New Roman" w:hint="default"/>
      </w:rPr>
    </w:lvl>
  </w:abstractNum>
  <w:abstractNum w:abstractNumId="2" w15:restartNumberingAfterBreak="0">
    <w:nsid w:val="5C7D02B6"/>
    <w:multiLevelType w:val="hybridMultilevel"/>
    <w:tmpl w:val="664C1044"/>
    <w:lvl w:ilvl="0" w:tplc="83909976">
      <w:start w:val="1"/>
      <w:numFmt w:val="decimal"/>
      <w:lvlText w:val="%1"/>
      <w:lvlJc w:val="left"/>
      <w:pPr>
        <w:ind w:left="548" w:hanging="433"/>
        <w:jc w:val="left"/>
      </w:pPr>
      <w:rPr>
        <w:rFonts w:ascii="Arial" w:eastAsia="Arial" w:hAnsi="Arial" w:cs="Arial" w:hint="default"/>
        <w:b/>
        <w:bCs/>
        <w:w w:val="99"/>
        <w:sz w:val="28"/>
        <w:szCs w:val="28"/>
        <w:lang w:val="de-DE" w:eastAsia="de-DE" w:bidi="de-DE"/>
      </w:rPr>
    </w:lvl>
    <w:lvl w:ilvl="1" w:tplc="E90C1698">
      <w:numFmt w:val="bullet"/>
      <w:lvlText w:val=""/>
      <w:lvlJc w:val="left"/>
      <w:pPr>
        <w:ind w:left="837" w:hanging="361"/>
      </w:pPr>
      <w:rPr>
        <w:rFonts w:ascii="Wingdings" w:eastAsia="Wingdings" w:hAnsi="Wingdings" w:cs="Wingdings" w:hint="default"/>
        <w:w w:val="100"/>
        <w:sz w:val="20"/>
        <w:szCs w:val="20"/>
        <w:lang w:val="de-DE" w:eastAsia="de-DE" w:bidi="de-DE"/>
      </w:rPr>
    </w:lvl>
    <w:lvl w:ilvl="2" w:tplc="2E107D1A">
      <w:numFmt w:val="bullet"/>
      <w:lvlText w:val="•"/>
      <w:lvlJc w:val="left"/>
      <w:pPr>
        <w:ind w:left="1780" w:hanging="361"/>
      </w:pPr>
      <w:rPr>
        <w:rFonts w:hint="default"/>
        <w:lang w:val="de-DE" w:eastAsia="de-DE" w:bidi="de-DE"/>
      </w:rPr>
    </w:lvl>
    <w:lvl w:ilvl="3" w:tplc="C20CCD2E">
      <w:numFmt w:val="bullet"/>
      <w:lvlText w:val="•"/>
      <w:lvlJc w:val="left"/>
      <w:pPr>
        <w:ind w:left="2720" w:hanging="361"/>
      </w:pPr>
      <w:rPr>
        <w:rFonts w:hint="default"/>
        <w:lang w:val="de-DE" w:eastAsia="de-DE" w:bidi="de-DE"/>
      </w:rPr>
    </w:lvl>
    <w:lvl w:ilvl="4" w:tplc="E16EF5EE">
      <w:numFmt w:val="bullet"/>
      <w:lvlText w:val="•"/>
      <w:lvlJc w:val="left"/>
      <w:pPr>
        <w:ind w:left="3661" w:hanging="361"/>
      </w:pPr>
      <w:rPr>
        <w:rFonts w:hint="default"/>
        <w:lang w:val="de-DE" w:eastAsia="de-DE" w:bidi="de-DE"/>
      </w:rPr>
    </w:lvl>
    <w:lvl w:ilvl="5" w:tplc="6CD496D8">
      <w:numFmt w:val="bullet"/>
      <w:lvlText w:val="•"/>
      <w:lvlJc w:val="left"/>
      <w:pPr>
        <w:ind w:left="4601" w:hanging="361"/>
      </w:pPr>
      <w:rPr>
        <w:rFonts w:hint="default"/>
        <w:lang w:val="de-DE" w:eastAsia="de-DE" w:bidi="de-DE"/>
      </w:rPr>
    </w:lvl>
    <w:lvl w:ilvl="6" w:tplc="41EA3E6A">
      <w:numFmt w:val="bullet"/>
      <w:lvlText w:val="•"/>
      <w:lvlJc w:val="left"/>
      <w:pPr>
        <w:ind w:left="5542" w:hanging="361"/>
      </w:pPr>
      <w:rPr>
        <w:rFonts w:hint="default"/>
        <w:lang w:val="de-DE" w:eastAsia="de-DE" w:bidi="de-DE"/>
      </w:rPr>
    </w:lvl>
    <w:lvl w:ilvl="7" w:tplc="E58CC0DE">
      <w:numFmt w:val="bullet"/>
      <w:lvlText w:val="•"/>
      <w:lvlJc w:val="left"/>
      <w:pPr>
        <w:ind w:left="6482" w:hanging="361"/>
      </w:pPr>
      <w:rPr>
        <w:rFonts w:hint="default"/>
        <w:lang w:val="de-DE" w:eastAsia="de-DE" w:bidi="de-DE"/>
      </w:rPr>
    </w:lvl>
    <w:lvl w:ilvl="8" w:tplc="8C7AB160">
      <w:numFmt w:val="bullet"/>
      <w:lvlText w:val="•"/>
      <w:lvlJc w:val="left"/>
      <w:pPr>
        <w:ind w:left="7423" w:hanging="361"/>
      </w:pPr>
      <w:rPr>
        <w:rFonts w:hint="default"/>
        <w:lang w:val="de-DE" w:eastAsia="de-DE" w:bidi="de-DE"/>
      </w:rPr>
    </w:lvl>
  </w:abstractNum>
  <w:abstractNum w:abstractNumId="3" w15:restartNumberingAfterBreak="0">
    <w:nsid w:val="751F671A"/>
    <w:multiLevelType w:val="hybridMultilevel"/>
    <w:tmpl w:val="2780CDE0"/>
    <w:lvl w:ilvl="0" w:tplc="598CCB30">
      <w:numFmt w:val="bullet"/>
      <w:lvlText w:val="•"/>
      <w:lvlJc w:val="left"/>
      <w:pPr>
        <w:ind w:left="461" w:hanging="360"/>
      </w:pPr>
      <w:rPr>
        <w:rFonts w:hint="default"/>
        <w:w w:val="99"/>
        <w:lang w:val="lt" w:eastAsia="lt" w:bidi="lt"/>
      </w:rPr>
    </w:lvl>
    <w:lvl w:ilvl="1" w:tplc="77101A92">
      <w:numFmt w:val="bullet"/>
      <w:lvlText w:val="•"/>
      <w:lvlJc w:val="left"/>
      <w:pPr>
        <w:ind w:left="460" w:hanging="360"/>
      </w:pPr>
      <w:rPr>
        <w:rFonts w:hint="default"/>
        <w:lang w:val="lt" w:eastAsia="lt" w:bidi="lt"/>
      </w:rPr>
    </w:lvl>
    <w:lvl w:ilvl="2" w:tplc="B00A184C">
      <w:numFmt w:val="bullet"/>
      <w:lvlText w:val="•"/>
      <w:lvlJc w:val="left"/>
      <w:pPr>
        <w:ind w:left="273" w:hanging="360"/>
      </w:pPr>
      <w:rPr>
        <w:rFonts w:hint="default"/>
        <w:lang w:val="lt" w:eastAsia="lt" w:bidi="lt"/>
      </w:rPr>
    </w:lvl>
    <w:lvl w:ilvl="3" w:tplc="691CC436">
      <w:numFmt w:val="bullet"/>
      <w:lvlText w:val="•"/>
      <w:lvlJc w:val="left"/>
      <w:pPr>
        <w:ind w:left="87" w:hanging="360"/>
      </w:pPr>
      <w:rPr>
        <w:rFonts w:hint="default"/>
        <w:lang w:val="lt" w:eastAsia="lt" w:bidi="lt"/>
      </w:rPr>
    </w:lvl>
    <w:lvl w:ilvl="4" w:tplc="BCDCE9E4">
      <w:numFmt w:val="bullet"/>
      <w:lvlText w:val="•"/>
      <w:lvlJc w:val="left"/>
      <w:pPr>
        <w:ind w:left="-100" w:hanging="360"/>
      </w:pPr>
      <w:rPr>
        <w:rFonts w:hint="default"/>
        <w:lang w:val="lt" w:eastAsia="lt" w:bidi="lt"/>
      </w:rPr>
    </w:lvl>
    <w:lvl w:ilvl="5" w:tplc="90EAEA4A">
      <w:numFmt w:val="bullet"/>
      <w:lvlText w:val="•"/>
      <w:lvlJc w:val="left"/>
      <w:pPr>
        <w:ind w:left="-286" w:hanging="360"/>
      </w:pPr>
      <w:rPr>
        <w:rFonts w:hint="default"/>
        <w:lang w:val="lt" w:eastAsia="lt" w:bidi="lt"/>
      </w:rPr>
    </w:lvl>
    <w:lvl w:ilvl="6" w:tplc="C4C2CC76">
      <w:numFmt w:val="bullet"/>
      <w:lvlText w:val="•"/>
      <w:lvlJc w:val="left"/>
      <w:pPr>
        <w:ind w:left="-473" w:hanging="360"/>
      </w:pPr>
      <w:rPr>
        <w:rFonts w:hint="default"/>
        <w:lang w:val="lt" w:eastAsia="lt" w:bidi="lt"/>
      </w:rPr>
    </w:lvl>
    <w:lvl w:ilvl="7" w:tplc="3F389CEC">
      <w:numFmt w:val="bullet"/>
      <w:lvlText w:val="•"/>
      <w:lvlJc w:val="left"/>
      <w:pPr>
        <w:ind w:left="-659" w:hanging="360"/>
      </w:pPr>
      <w:rPr>
        <w:rFonts w:hint="default"/>
        <w:lang w:val="lt" w:eastAsia="lt" w:bidi="lt"/>
      </w:rPr>
    </w:lvl>
    <w:lvl w:ilvl="8" w:tplc="A37C7BD2">
      <w:numFmt w:val="bullet"/>
      <w:lvlText w:val="•"/>
      <w:lvlJc w:val="left"/>
      <w:pPr>
        <w:ind w:left="-846" w:hanging="360"/>
      </w:pPr>
      <w:rPr>
        <w:rFonts w:hint="default"/>
        <w:lang w:val="lt" w:eastAsia="lt" w:bidi="lt"/>
      </w:rPr>
    </w:lvl>
  </w:abstractNum>
  <w:abstractNum w:abstractNumId="4" w15:restartNumberingAfterBreak="0">
    <w:nsid w:val="76090FDC"/>
    <w:multiLevelType w:val="singleLevel"/>
    <w:tmpl w:val="20AA7B58"/>
    <w:lvl w:ilvl="0">
      <w:start w:val="1"/>
      <w:numFmt w:val="lowerLetter"/>
      <w:lvlText w:val="(%1)"/>
      <w:legacy w:legacy="1" w:legacySpace="0" w:legacyIndent="355"/>
      <w:lvlJc w:val="left"/>
      <w:rPr>
        <w:rFonts w:ascii="Times New Roman" w:hAnsi="Times New Roman" w:cs="Times New Roman"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95"/>
    <w:rsid w:val="000274EC"/>
    <w:rsid w:val="000C451B"/>
    <w:rsid w:val="00161B26"/>
    <w:rsid w:val="001801A9"/>
    <w:rsid w:val="001B0E3E"/>
    <w:rsid w:val="00253B81"/>
    <w:rsid w:val="002A2924"/>
    <w:rsid w:val="003467E0"/>
    <w:rsid w:val="00365FA9"/>
    <w:rsid w:val="00431248"/>
    <w:rsid w:val="00441817"/>
    <w:rsid w:val="00482D5B"/>
    <w:rsid w:val="004B13E0"/>
    <w:rsid w:val="004C7B95"/>
    <w:rsid w:val="005E2758"/>
    <w:rsid w:val="005F403A"/>
    <w:rsid w:val="0071345F"/>
    <w:rsid w:val="00794051"/>
    <w:rsid w:val="00852D02"/>
    <w:rsid w:val="008D4DD8"/>
    <w:rsid w:val="009F00A5"/>
    <w:rsid w:val="00A205B6"/>
    <w:rsid w:val="00A2346F"/>
    <w:rsid w:val="00B325ED"/>
    <w:rsid w:val="00BA5C04"/>
    <w:rsid w:val="00C44BBE"/>
    <w:rsid w:val="00C67FF0"/>
    <w:rsid w:val="00D6733C"/>
    <w:rsid w:val="00DD2E90"/>
    <w:rsid w:val="00DE70D1"/>
    <w:rsid w:val="00EB3DC3"/>
    <w:rsid w:val="00EC2AD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EE6E"/>
  <w15:docId w15:val="{626E31B6-90DB-4E1D-A5DD-2D2D6514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441817"/>
    <w:pPr>
      <w:ind w:left="720"/>
      <w:contextualSpacing/>
    </w:pPr>
  </w:style>
  <w:style w:type="paragraph" w:styleId="a5">
    <w:name w:val="Body Text"/>
    <w:basedOn w:val="a"/>
    <w:link w:val="a6"/>
    <w:uiPriority w:val="1"/>
    <w:qFormat/>
    <w:rsid w:val="00A205B6"/>
    <w:pPr>
      <w:widowControl w:val="0"/>
      <w:autoSpaceDE w:val="0"/>
      <w:autoSpaceDN w:val="0"/>
      <w:spacing w:after="0" w:line="240" w:lineRule="auto"/>
    </w:pPr>
    <w:rPr>
      <w:rFonts w:ascii="Arial" w:eastAsia="Arial" w:hAnsi="Arial" w:cs="Arial"/>
      <w:sz w:val="20"/>
      <w:szCs w:val="20"/>
      <w:lang w:val="de-DE" w:eastAsia="de-DE" w:bidi="de-DE"/>
    </w:rPr>
  </w:style>
  <w:style w:type="character" w:customStyle="1" w:styleId="a6">
    <w:name w:val="Основной текст Знак"/>
    <w:basedOn w:val="a0"/>
    <w:link w:val="a5"/>
    <w:uiPriority w:val="1"/>
    <w:rsid w:val="00A205B6"/>
    <w:rPr>
      <w:rFonts w:ascii="Arial" w:eastAsia="Arial" w:hAnsi="Arial" w:cs="Arial"/>
      <w:sz w:val="20"/>
      <w:szCs w:val="20"/>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22</cp:revision>
  <dcterms:created xsi:type="dcterms:W3CDTF">2018-10-31T06:55:00Z</dcterms:created>
  <dcterms:modified xsi:type="dcterms:W3CDTF">2020-09-30T07:33:00Z</dcterms:modified>
</cp:coreProperties>
</file>