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4956"/>
        <w:gridCol w:w="4956"/>
      </w:tblGrid>
      <w:tr w:rsidR="00E61A65" w:rsidRPr="00E61A65" w:rsidTr="00E61A65">
        <w:trPr>
          <w:trHeight w:val="276"/>
        </w:trPr>
        <w:tc>
          <w:tcPr>
            <w:tcW w:w="4956" w:type="dxa"/>
            <w:vAlign w:val="center"/>
          </w:tcPr>
          <w:p w:rsidR="00E61A65" w:rsidRPr="00E61A65" w:rsidRDefault="00E61A65" w:rsidP="00E61A65">
            <w:pPr>
              <w:jc w:val="center"/>
              <w:rPr>
                <w:rFonts w:ascii="Times New Roman" w:hAnsi="Times New Roman" w:cs="Times New Roman"/>
                <w:b/>
                <w:sz w:val="24"/>
              </w:rPr>
            </w:pPr>
            <w:r>
              <w:rPr>
                <w:rFonts w:ascii="Times New Roman" w:hAnsi="Times New Roman" w:cs="Times New Roman"/>
                <w:b/>
                <w:sz w:val="24"/>
              </w:rPr>
              <w:t>Текст на английском языке</w:t>
            </w:r>
          </w:p>
        </w:tc>
        <w:tc>
          <w:tcPr>
            <w:tcW w:w="4956" w:type="dxa"/>
            <w:vAlign w:val="center"/>
          </w:tcPr>
          <w:p w:rsidR="00E61A65" w:rsidRPr="00E61A65" w:rsidRDefault="00E61A65" w:rsidP="00E61A65">
            <w:pPr>
              <w:jc w:val="center"/>
              <w:rPr>
                <w:rFonts w:ascii="Times New Roman" w:hAnsi="Times New Roman" w:cs="Times New Roman"/>
                <w:b/>
                <w:sz w:val="24"/>
              </w:rPr>
            </w:pPr>
            <w:r>
              <w:rPr>
                <w:rFonts w:ascii="Times New Roman" w:hAnsi="Times New Roman" w:cs="Times New Roman"/>
                <w:b/>
                <w:sz w:val="24"/>
              </w:rPr>
              <w:t>Перевод на русский язык</w:t>
            </w:r>
          </w:p>
        </w:tc>
      </w:tr>
      <w:tr w:rsidR="009E7251" w:rsidRPr="00C2733B" w:rsidTr="001917F6">
        <w:trPr>
          <w:trHeight w:val="5937"/>
        </w:trPr>
        <w:tc>
          <w:tcPr>
            <w:tcW w:w="4956" w:type="dxa"/>
          </w:tcPr>
          <w:p w:rsidR="009E7251" w:rsidRDefault="009E7251" w:rsidP="009E7251">
            <w:pPr>
              <w:jc w:val="both"/>
              <w:rPr>
                <w:rFonts w:ascii="Times New Roman" w:hAnsi="Times New Roman" w:cs="Times New Roman"/>
                <w:sz w:val="24"/>
                <w:lang w:val="en-US"/>
              </w:rPr>
            </w:pPr>
            <w:r w:rsidRPr="009E7251">
              <w:rPr>
                <w:rFonts w:ascii="Times New Roman" w:hAnsi="Times New Roman" w:cs="Times New Roman"/>
                <w:sz w:val="24"/>
                <w:lang w:val="en-US"/>
              </w:rPr>
              <w:t>The Organizers will provide the total sum of USD 320,000 (three hundred and twenty thousand dollars) for the video broadcasts</w:t>
            </w:r>
            <w:r>
              <w:rPr>
                <w:rFonts w:ascii="Times New Roman" w:hAnsi="Times New Roman" w:cs="Times New Roman"/>
                <w:sz w:val="24"/>
                <w:lang w:val="en-US"/>
              </w:rPr>
              <w:t>.</w:t>
            </w:r>
          </w:p>
          <w:p w:rsidR="009E7251" w:rsidRDefault="009E7251" w:rsidP="009E7251">
            <w:pPr>
              <w:jc w:val="both"/>
              <w:rPr>
                <w:rFonts w:ascii="Times New Roman" w:hAnsi="Times New Roman" w:cs="Times New Roman"/>
                <w:sz w:val="24"/>
                <w:lang w:val="en-US"/>
              </w:rPr>
            </w:pPr>
          </w:p>
          <w:p w:rsidR="009E7251" w:rsidRDefault="009E7251" w:rsidP="009E7251">
            <w:pPr>
              <w:jc w:val="both"/>
              <w:rPr>
                <w:rFonts w:ascii="Times New Roman" w:hAnsi="Times New Roman" w:cs="Times New Roman"/>
                <w:sz w:val="24"/>
                <w:lang w:val="en-US"/>
              </w:rPr>
            </w:pPr>
            <w:r w:rsidRPr="009E7251">
              <w:rPr>
                <w:rFonts w:ascii="Times New Roman" w:hAnsi="Times New Roman" w:cs="Times New Roman"/>
                <w:sz w:val="24"/>
                <w:lang w:val="en-US"/>
              </w:rPr>
              <w:t xml:space="preserve">This sum includes the manpower to operate the broadcasts, including on-air director, assistants, video engineers, editors, cameramen; cameras, hardware and software needed for the broadcast. This sum includes the payment for 4 (four) English-speaking experienced chess commentators, appointed by the Organizers, and 2 (two) </w:t>
            </w:r>
            <w:r>
              <w:rPr>
                <w:rFonts w:ascii="Times New Roman" w:hAnsi="Times New Roman" w:cs="Times New Roman"/>
                <w:sz w:val="24"/>
                <w:lang w:val="en-US"/>
              </w:rPr>
              <w:t>video reporters for each event.</w:t>
            </w:r>
          </w:p>
          <w:p w:rsidR="009E7251" w:rsidRPr="009E7251" w:rsidRDefault="009E7251" w:rsidP="009E7251">
            <w:pPr>
              <w:jc w:val="both"/>
              <w:rPr>
                <w:rFonts w:ascii="Times New Roman" w:hAnsi="Times New Roman" w:cs="Times New Roman"/>
                <w:sz w:val="24"/>
                <w:lang w:val="en-US"/>
              </w:rPr>
            </w:pPr>
          </w:p>
          <w:p w:rsidR="009E7251" w:rsidRPr="009E7251" w:rsidRDefault="009E7251" w:rsidP="009E7251">
            <w:pPr>
              <w:jc w:val="both"/>
              <w:rPr>
                <w:rFonts w:ascii="Times New Roman" w:hAnsi="Times New Roman" w:cs="Times New Roman"/>
                <w:sz w:val="24"/>
                <w:lang w:val="en-US"/>
              </w:rPr>
            </w:pPr>
            <w:r w:rsidRPr="009E7251">
              <w:rPr>
                <w:rFonts w:ascii="Times New Roman" w:hAnsi="Times New Roman" w:cs="Times New Roman"/>
                <w:sz w:val="24"/>
                <w:lang w:val="en-US"/>
              </w:rPr>
              <w:t>The broadcasting company (the “Broadcaster”) should provide graphical package for the broadcasts, including opening sequence, lower thirds, result plates, statistics, but not limited to the above, video and graphical promos to be circulated before the start of the event, inspirational videos, interviews, reports and summaries during and after the event.</w:t>
            </w:r>
          </w:p>
        </w:tc>
        <w:tc>
          <w:tcPr>
            <w:tcW w:w="4956" w:type="dxa"/>
          </w:tcPr>
          <w:p w:rsidR="009E7251" w:rsidRPr="009E7251" w:rsidRDefault="009E7251" w:rsidP="009E7251">
            <w:pPr>
              <w:jc w:val="both"/>
              <w:rPr>
                <w:rFonts w:ascii="Times New Roman" w:hAnsi="Times New Roman" w:cs="Times New Roman"/>
                <w:sz w:val="24"/>
                <w:lang w:val="en-US"/>
              </w:rPr>
            </w:pPr>
          </w:p>
        </w:tc>
      </w:tr>
      <w:tr w:rsidR="00E61A65" w:rsidRPr="00E61A65" w:rsidTr="00E61A65">
        <w:tc>
          <w:tcPr>
            <w:tcW w:w="4956" w:type="dxa"/>
            <w:vAlign w:val="center"/>
          </w:tcPr>
          <w:p w:rsidR="00E61A65" w:rsidRPr="00E61A65" w:rsidRDefault="00E61A65" w:rsidP="00E61A65">
            <w:pPr>
              <w:jc w:val="center"/>
              <w:rPr>
                <w:rFonts w:ascii="Times New Roman" w:hAnsi="Times New Roman" w:cs="Times New Roman"/>
                <w:b/>
                <w:sz w:val="24"/>
              </w:rPr>
            </w:pPr>
            <w:r>
              <w:rPr>
                <w:rFonts w:ascii="Times New Roman" w:hAnsi="Times New Roman" w:cs="Times New Roman"/>
                <w:b/>
                <w:sz w:val="24"/>
              </w:rPr>
              <w:t>Текст на русском языке</w:t>
            </w:r>
          </w:p>
        </w:tc>
        <w:tc>
          <w:tcPr>
            <w:tcW w:w="4956" w:type="dxa"/>
            <w:vAlign w:val="center"/>
          </w:tcPr>
          <w:p w:rsidR="00E61A65" w:rsidRPr="00E61A65" w:rsidRDefault="00E61A65" w:rsidP="00E61A65">
            <w:pPr>
              <w:jc w:val="center"/>
              <w:rPr>
                <w:rFonts w:ascii="Times New Roman" w:hAnsi="Times New Roman" w:cs="Times New Roman"/>
                <w:b/>
                <w:sz w:val="24"/>
              </w:rPr>
            </w:pPr>
            <w:r>
              <w:rPr>
                <w:rFonts w:ascii="Times New Roman" w:hAnsi="Times New Roman" w:cs="Times New Roman"/>
                <w:b/>
                <w:sz w:val="24"/>
              </w:rPr>
              <w:t>Перевод на английский язык</w:t>
            </w:r>
          </w:p>
        </w:tc>
      </w:tr>
      <w:tr w:rsidR="009E7251" w:rsidRPr="00E61A65" w:rsidTr="009E7251">
        <w:tc>
          <w:tcPr>
            <w:tcW w:w="4956" w:type="dxa"/>
          </w:tcPr>
          <w:p w:rsidR="00E61A65" w:rsidRDefault="00E61A65" w:rsidP="00E61A65">
            <w:pPr>
              <w:jc w:val="both"/>
              <w:rPr>
                <w:rFonts w:ascii="Times New Roman" w:hAnsi="Times New Roman" w:cs="Times New Roman"/>
                <w:sz w:val="24"/>
              </w:rPr>
            </w:pPr>
            <w:r w:rsidRPr="00E61A65">
              <w:rPr>
                <w:rFonts w:ascii="Times New Roman" w:hAnsi="Times New Roman" w:cs="Times New Roman"/>
                <w:sz w:val="24"/>
              </w:rPr>
              <w:t>В рамках данной статьи, по мнению автора, необходимо рассмотреть, насколько сильной является налоговая нагрузка для предпринимателей. Не менее важной проблемой, с которой сталкиваются предприниматели является проблема высокой налоговой нагрузки. Стоит начать с рассмотрения вопроса, что является налоговым контролем.</w:t>
            </w:r>
          </w:p>
          <w:p w:rsidR="00E61A65" w:rsidRPr="00E61A65" w:rsidRDefault="00E61A65" w:rsidP="00E61A65">
            <w:pPr>
              <w:jc w:val="both"/>
              <w:rPr>
                <w:rFonts w:ascii="Times New Roman" w:hAnsi="Times New Roman" w:cs="Times New Roman"/>
                <w:sz w:val="24"/>
              </w:rPr>
            </w:pPr>
          </w:p>
          <w:p w:rsidR="00E61A65" w:rsidRDefault="00E61A65" w:rsidP="00E61A65">
            <w:pPr>
              <w:jc w:val="both"/>
              <w:rPr>
                <w:rFonts w:ascii="Times New Roman" w:hAnsi="Times New Roman" w:cs="Times New Roman"/>
                <w:sz w:val="24"/>
              </w:rPr>
            </w:pPr>
            <w:r w:rsidRPr="00E61A65">
              <w:rPr>
                <w:rFonts w:ascii="Times New Roman" w:hAnsi="Times New Roman" w:cs="Times New Roman"/>
                <w:sz w:val="24"/>
              </w:rPr>
              <w:t>Налоговым контролем признается деятельность уполномоченных органов по контролю за соблюдением налогоплательщиками, налоговыми агентами и плательщиками сборов законодательства о налогах и сборах в порядке, уста</w:t>
            </w:r>
            <w:r>
              <w:rPr>
                <w:rFonts w:ascii="Times New Roman" w:hAnsi="Times New Roman" w:cs="Times New Roman"/>
                <w:sz w:val="24"/>
              </w:rPr>
              <w:t>новленном Налоговым Кодексом</w:t>
            </w:r>
            <w:r w:rsidRPr="00E61A65">
              <w:rPr>
                <w:rFonts w:ascii="Times New Roman" w:hAnsi="Times New Roman" w:cs="Times New Roman"/>
                <w:sz w:val="24"/>
              </w:rPr>
              <w:t xml:space="preserve">. </w:t>
            </w:r>
          </w:p>
          <w:p w:rsidR="00E61A65" w:rsidRPr="00E61A65" w:rsidRDefault="00E61A65" w:rsidP="00E61A65">
            <w:pPr>
              <w:jc w:val="both"/>
              <w:rPr>
                <w:rFonts w:ascii="Times New Roman" w:hAnsi="Times New Roman" w:cs="Times New Roman"/>
                <w:sz w:val="24"/>
              </w:rPr>
            </w:pPr>
          </w:p>
          <w:p w:rsidR="009E7251" w:rsidRPr="00E61A65" w:rsidRDefault="00E61A65" w:rsidP="00E61A65">
            <w:pPr>
              <w:jc w:val="both"/>
              <w:rPr>
                <w:rFonts w:ascii="Times New Roman" w:hAnsi="Times New Roman" w:cs="Times New Roman"/>
                <w:sz w:val="24"/>
              </w:rPr>
            </w:pPr>
            <w:r w:rsidRPr="00E61A65">
              <w:rPr>
                <w:rFonts w:ascii="Times New Roman" w:hAnsi="Times New Roman" w:cs="Times New Roman"/>
                <w:sz w:val="24"/>
              </w:rPr>
              <w:t>Показатель налоговой нагрузки, позволяет определить, насколько обременительна существующая налоговая система для хозяйствующего субъекта и какую долю ресурсов привлекают на себя платежи в бюджет. При этом организации должны рассчитывать налоговую нагрузку, чтобы иметь представление, насколько их деятельность привлекает внимание налоговых органов, которые могут принять решение о выездной налоговой пр</w:t>
            </w:r>
            <w:r>
              <w:rPr>
                <w:rFonts w:ascii="Times New Roman" w:hAnsi="Times New Roman" w:cs="Times New Roman"/>
                <w:sz w:val="24"/>
              </w:rPr>
              <w:t>оверке</w:t>
            </w:r>
            <w:r w:rsidRPr="00E61A65">
              <w:rPr>
                <w:rFonts w:ascii="Times New Roman" w:hAnsi="Times New Roman" w:cs="Times New Roman"/>
                <w:sz w:val="24"/>
              </w:rPr>
              <w:t>.</w:t>
            </w:r>
          </w:p>
        </w:tc>
        <w:tc>
          <w:tcPr>
            <w:tcW w:w="4956" w:type="dxa"/>
          </w:tcPr>
          <w:p w:rsidR="009E7251" w:rsidRPr="00E61A65" w:rsidRDefault="009E7251" w:rsidP="009E7251">
            <w:pPr>
              <w:jc w:val="both"/>
              <w:rPr>
                <w:rFonts w:ascii="Times New Roman" w:hAnsi="Times New Roman" w:cs="Times New Roman"/>
                <w:sz w:val="24"/>
              </w:rPr>
            </w:pPr>
          </w:p>
        </w:tc>
      </w:tr>
    </w:tbl>
    <w:p w:rsidR="00EF1CE8" w:rsidRDefault="00EF1CE8" w:rsidP="009E7251">
      <w:pPr>
        <w:spacing w:after="0"/>
        <w:rPr>
          <w:rFonts w:ascii="Times New Roman" w:hAnsi="Times New Roman" w:cs="Times New Roman"/>
          <w:sz w:val="24"/>
        </w:rPr>
      </w:pPr>
    </w:p>
    <w:p w:rsidR="008E4A2F" w:rsidRDefault="008E4A2F" w:rsidP="009E7251">
      <w:pPr>
        <w:spacing w:after="0"/>
        <w:rPr>
          <w:rFonts w:ascii="Times New Roman" w:hAnsi="Times New Roman" w:cs="Times New Roman"/>
          <w:sz w:val="24"/>
        </w:rPr>
        <w:sectPr w:rsidR="008E4A2F" w:rsidSect="008E4A2F">
          <w:pgSz w:w="11906" w:h="16838"/>
          <w:pgMar w:top="851" w:right="850" w:bottom="567" w:left="1134" w:header="708" w:footer="708" w:gutter="0"/>
          <w:cols w:space="708"/>
          <w:docGrid w:linePitch="360"/>
        </w:sectPr>
      </w:pPr>
    </w:p>
    <w:tbl>
      <w:tblPr>
        <w:tblStyle w:val="a3"/>
        <w:tblW w:w="0" w:type="auto"/>
        <w:tblLook w:val="04A0" w:firstRow="1" w:lastRow="0" w:firstColumn="1" w:lastColumn="0" w:noHBand="0" w:noVBand="1"/>
      </w:tblPr>
      <w:tblGrid>
        <w:gridCol w:w="4956"/>
        <w:gridCol w:w="4956"/>
      </w:tblGrid>
      <w:tr w:rsidR="009C5B35" w:rsidTr="009C5B35">
        <w:tc>
          <w:tcPr>
            <w:tcW w:w="4956" w:type="dxa"/>
            <w:vAlign w:val="center"/>
          </w:tcPr>
          <w:p w:rsidR="009C5B35" w:rsidRPr="009C5B35" w:rsidRDefault="009C5B35" w:rsidP="009C5B35">
            <w:pPr>
              <w:jc w:val="center"/>
              <w:rPr>
                <w:rFonts w:ascii="Times New Roman" w:hAnsi="Times New Roman" w:cs="Times New Roman"/>
                <w:b/>
                <w:sz w:val="24"/>
              </w:rPr>
            </w:pPr>
            <w:r w:rsidRPr="009C5B35">
              <w:rPr>
                <w:rFonts w:ascii="Times New Roman" w:hAnsi="Times New Roman" w:cs="Times New Roman"/>
                <w:b/>
                <w:sz w:val="24"/>
              </w:rPr>
              <w:lastRenderedPageBreak/>
              <w:t>Текст на английском языке</w:t>
            </w:r>
          </w:p>
        </w:tc>
        <w:tc>
          <w:tcPr>
            <w:tcW w:w="4956" w:type="dxa"/>
            <w:vAlign w:val="center"/>
          </w:tcPr>
          <w:p w:rsidR="009C5B35" w:rsidRPr="009C5B35" w:rsidRDefault="009C5B35" w:rsidP="009C5B35">
            <w:pPr>
              <w:jc w:val="center"/>
              <w:rPr>
                <w:rFonts w:ascii="Times New Roman" w:hAnsi="Times New Roman" w:cs="Times New Roman"/>
                <w:b/>
                <w:sz w:val="24"/>
              </w:rPr>
            </w:pPr>
            <w:r w:rsidRPr="009C5B35">
              <w:rPr>
                <w:rFonts w:ascii="Times New Roman" w:hAnsi="Times New Roman" w:cs="Times New Roman"/>
                <w:b/>
                <w:sz w:val="24"/>
              </w:rPr>
              <w:t>Перевод на русский язык</w:t>
            </w:r>
          </w:p>
        </w:tc>
      </w:tr>
      <w:tr w:rsidR="009C5B35" w:rsidRPr="00C2733B" w:rsidTr="009C5B35">
        <w:tc>
          <w:tcPr>
            <w:tcW w:w="4956" w:type="dxa"/>
          </w:tcPr>
          <w:p w:rsidR="009C5B35" w:rsidRDefault="009C5B35" w:rsidP="009C5B35">
            <w:pPr>
              <w:jc w:val="both"/>
              <w:rPr>
                <w:rFonts w:ascii="Times New Roman" w:hAnsi="Times New Roman" w:cs="Times New Roman"/>
                <w:sz w:val="24"/>
                <w:lang w:val="en-US"/>
              </w:rPr>
            </w:pPr>
            <w:proofErr w:type="spellStart"/>
            <w:r w:rsidRPr="009C5B35">
              <w:rPr>
                <w:rFonts w:ascii="Times New Roman" w:hAnsi="Times New Roman" w:cs="Times New Roman"/>
                <w:sz w:val="24"/>
                <w:lang w:val="en-US"/>
              </w:rPr>
              <w:t>Buruli</w:t>
            </w:r>
            <w:proofErr w:type="spellEnd"/>
            <w:r w:rsidRPr="009C5B35">
              <w:rPr>
                <w:rFonts w:ascii="Times New Roman" w:hAnsi="Times New Roman" w:cs="Times New Roman"/>
                <w:sz w:val="24"/>
                <w:lang w:val="en-US"/>
              </w:rPr>
              <w:t xml:space="preserve"> ulcer is a bacterial disease that eats away muscle tissue. People can become disabled. They may even need to have an arm or leg removed. </w:t>
            </w:r>
            <w:proofErr w:type="spellStart"/>
            <w:r w:rsidRPr="009C5B35">
              <w:rPr>
                <w:rFonts w:ascii="Times New Roman" w:hAnsi="Times New Roman" w:cs="Times New Roman"/>
                <w:sz w:val="24"/>
                <w:lang w:val="en-US"/>
              </w:rPr>
              <w:t>Buruli</w:t>
            </w:r>
            <w:proofErr w:type="spellEnd"/>
            <w:r w:rsidRPr="009C5B35">
              <w:rPr>
                <w:rFonts w:ascii="Times New Roman" w:hAnsi="Times New Roman" w:cs="Times New Roman"/>
                <w:sz w:val="24"/>
                <w:lang w:val="en-US"/>
              </w:rPr>
              <w:t xml:space="preserve"> ulcer disease can be easily treated with antibiotics. Yet people often do not get medical help until the damage already has been done.</w:t>
            </w:r>
          </w:p>
          <w:p w:rsidR="009C5B35" w:rsidRPr="009C5B35" w:rsidRDefault="009C5B35" w:rsidP="009C5B35">
            <w:pPr>
              <w:jc w:val="both"/>
              <w:rPr>
                <w:rFonts w:ascii="Times New Roman" w:hAnsi="Times New Roman" w:cs="Times New Roman"/>
                <w:sz w:val="24"/>
                <w:lang w:val="en-US"/>
              </w:rPr>
            </w:pPr>
          </w:p>
          <w:p w:rsidR="009C5B35" w:rsidRDefault="009C5B35" w:rsidP="009C5B35">
            <w:pPr>
              <w:jc w:val="both"/>
              <w:rPr>
                <w:rFonts w:ascii="Times New Roman" w:hAnsi="Times New Roman" w:cs="Times New Roman"/>
                <w:sz w:val="24"/>
                <w:lang w:val="en-US"/>
              </w:rPr>
            </w:pPr>
            <w:r w:rsidRPr="009C5B35">
              <w:rPr>
                <w:rFonts w:ascii="Times New Roman" w:hAnsi="Times New Roman" w:cs="Times New Roman"/>
                <w:sz w:val="24"/>
                <w:lang w:val="en-US"/>
              </w:rPr>
              <w:t xml:space="preserve">Doctor Alexander </w:t>
            </w:r>
            <w:proofErr w:type="spellStart"/>
            <w:r w:rsidRPr="009C5B35">
              <w:rPr>
                <w:rFonts w:ascii="Times New Roman" w:hAnsi="Times New Roman" w:cs="Times New Roman"/>
                <w:sz w:val="24"/>
                <w:lang w:val="en-US"/>
              </w:rPr>
              <w:t>Tiendrebeogo</w:t>
            </w:r>
            <w:proofErr w:type="spellEnd"/>
            <w:r w:rsidRPr="009C5B35">
              <w:rPr>
                <w:rFonts w:ascii="Times New Roman" w:hAnsi="Times New Roman" w:cs="Times New Roman"/>
                <w:sz w:val="24"/>
                <w:lang w:val="en-US"/>
              </w:rPr>
              <w:t xml:space="preserve"> from the World Health Organization says the disease causes no pain at first. The condition usually begins as a swelling on the skin. Then large ulcers form. These breaks destroy skin and soft tissue, sometimes all the way down to the bone.</w:t>
            </w:r>
          </w:p>
          <w:p w:rsidR="009C5B35" w:rsidRPr="009C5B35" w:rsidRDefault="009C5B35" w:rsidP="009C5B35">
            <w:pPr>
              <w:jc w:val="both"/>
              <w:rPr>
                <w:rFonts w:ascii="Times New Roman" w:hAnsi="Times New Roman" w:cs="Times New Roman"/>
                <w:sz w:val="24"/>
                <w:lang w:val="en-US"/>
              </w:rPr>
            </w:pPr>
          </w:p>
          <w:p w:rsidR="009C5B35" w:rsidRDefault="009C5B35" w:rsidP="009C5B35">
            <w:pPr>
              <w:jc w:val="both"/>
              <w:rPr>
                <w:rFonts w:ascii="Times New Roman" w:hAnsi="Times New Roman" w:cs="Times New Roman"/>
                <w:sz w:val="24"/>
                <w:lang w:val="en-US"/>
              </w:rPr>
            </w:pPr>
            <w:proofErr w:type="spellStart"/>
            <w:r w:rsidRPr="009C5B35">
              <w:rPr>
                <w:rFonts w:ascii="Times New Roman" w:hAnsi="Times New Roman" w:cs="Times New Roman"/>
                <w:sz w:val="24"/>
                <w:lang w:val="en-US"/>
              </w:rPr>
              <w:t>Buruli</w:t>
            </w:r>
            <w:proofErr w:type="spellEnd"/>
            <w:r w:rsidRPr="009C5B35">
              <w:rPr>
                <w:rFonts w:ascii="Times New Roman" w:hAnsi="Times New Roman" w:cs="Times New Roman"/>
                <w:sz w:val="24"/>
                <w:lang w:val="en-US"/>
              </w:rPr>
              <w:t xml:space="preserve"> ulcer is a disease found in tropical climates. It belongs to the same family of bacteria as those that cause tuberculosis and Hansen's disease, also known as leprosy.</w:t>
            </w:r>
          </w:p>
          <w:p w:rsidR="009C5B35" w:rsidRPr="009C5B35" w:rsidRDefault="009C5B35" w:rsidP="009C5B35">
            <w:pPr>
              <w:jc w:val="both"/>
              <w:rPr>
                <w:rFonts w:ascii="Times New Roman" w:hAnsi="Times New Roman" w:cs="Times New Roman"/>
                <w:sz w:val="24"/>
                <w:lang w:val="en-US"/>
              </w:rPr>
            </w:pPr>
          </w:p>
          <w:p w:rsidR="009C5B35" w:rsidRPr="009C5B35" w:rsidRDefault="009C5B35" w:rsidP="009C5B35">
            <w:pPr>
              <w:jc w:val="both"/>
              <w:rPr>
                <w:rFonts w:ascii="Times New Roman" w:hAnsi="Times New Roman" w:cs="Times New Roman"/>
                <w:sz w:val="24"/>
                <w:lang w:val="en-US"/>
              </w:rPr>
            </w:pPr>
            <w:r w:rsidRPr="009C5B35">
              <w:rPr>
                <w:rFonts w:ascii="Times New Roman" w:hAnsi="Times New Roman" w:cs="Times New Roman"/>
                <w:sz w:val="24"/>
                <w:lang w:val="en-US"/>
              </w:rPr>
              <w:t xml:space="preserve">Cases have been reported in Africa, the Americas, Asia and the western Pacific. At least thirty nations have had cases of </w:t>
            </w:r>
            <w:proofErr w:type="spellStart"/>
            <w:r w:rsidRPr="009C5B35">
              <w:rPr>
                <w:rFonts w:ascii="Times New Roman" w:hAnsi="Times New Roman" w:cs="Times New Roman"/>
                <w:sz w:val="24"/>
                <w:lang w:val="en-US"/>
              </w:rPr>
              <w:t>Buruli</w:t>
            </w:r>
            <w:proofErr w:type="spellEnd"/>
            <w:r w:rsidRPr="009C5B35">
              <w:rPr>
                <w:rFonts w:ascii="Times New Roman" w:hAnsi="Times New Roman" w:cs="Times New Roman"/>
                <w:sz w:val="24"/>
                <w:lang w:val="en-US"/>
              </w:rPr>
              <w:t xml:space="preserve"> ulcer disease. But experts say this condition has not gotten as much attention as it should.</w:t>
            </w:r>
          </w:p>
        </w:tc>
        <w:tc>
          <w:tcPr>
            <w:tcW w:w="4956" w:type="dxa"/>
          </w:tcPr>
          <w:p w:rsidR="009C5B35" w:rsidRPr="009C5B35" w:rsidRDefault="009C5B35" w:rsidP="009C5B35">
            <w:pPr>
              <w:jc w:val="both"/>
              <w:rPr>
                <w:rFonts w:ascii="Times New Roman" w:hAnsi="Times New Roman" w:cs="Times New Roman"/>
                <w:sz w:val="24"/>
                <w:lang w:val="en-US"/>
              </w:rPr>
            </w:pPr>
          </w:p>
        </w:tc>
      </w:tr>
      <w:tr w:rsidR="009C5B35" w:rsidRPr="009C5B35" w:rsidTr="009C5B35">
        <w:tc>
          <w:tcPr>
            <w:tcW w:w="4956" w:type="dxa"/>
            <w:vAlign w:val="center"/>
          </w:tcPr>
          <w:p w:rsidR="009C5B35" w:rsidRPr="009C5B35" w:rsidRDefault="009C5B35" w:rsidP="009C5B35">
            <w:pPr>
              <w:jc w:val="center"/>
              <w:rPr>
                <w:rFonts w:ascii="Times New Roman" w:hAnsi="Times New Roman" w:cs="Times New Roman"/>
                <w:b/>
                <w:sz w:val="24"/>
              </w:rPr>
            </w:pPr>
            <w:r>
              <w:rPr>
                <w:rFonts w:ascii="Times New Roman" w:hAnsi="Times New Roman" w:cs="Times New Roman"/>
                <w:b/>
                <w:sz w:val="24"/>
              </w:rPr>
              <w:t>Текст на русском языке</w:t>
            </w:r>
          </w:p>
        </w:tc>
        <w:tc>
          <w:tcPr>
            <w:tcW w:w="4956" w:type="dxa"/>
            <w:vAlign w:val="center"/>
          </w:tcPr>
          <w:p w:rsidR="009C5B35" w:rsidRPr="009C5B35" w:rsidRDefault="009C5B35" w:rsidP="009C5B35">
            <w:pPr>
              <w:jc w:val="center"/>
              <w:rPr>
                <w:rFonts w:ascii="Times New Roman" w:hAnsi="Times New Roman" w:cs="Times New Roman"/>
                <w:b/>
                <w:sz w:val="24"/>
              </w:rPr>
            </w:pPr>
            <w:r>
              <w:rPr>
                <w:rFonts w:ascii="Times New Roman" w:hAnsi="Times New Roman" w:cs="Times New Roman"/>
                <w:b/>
                <w:sz w:val="24"/>
              </w:rPr>
              <w:t>Перевод на английский</w:t>
            </w:r>
            <w:r w:rsidR="00AE3C99">
              <w:rPr>
                <w:rFonts w:ascii="Times New Roman" w:hAnsi="Times New Roman" w:cs="Times New Roman"/>
                <w:b/>
                <w:sz w:val="24"/>
              </w:rPr>
              <w:t xml:space="preserve"> язык</w:t>
            </w:r>
          </w:p>
        </w:tc>
      </w:tr>
      <w:tr w:rsidR="009C5B35" w:rsidRPr="009C5B35" w:rsidTr="009C5B35">
        <w:tc>
          <w:tcPr>
            <w:tcW w:w="4956" w:type="dxa"/>
          </w:tcPr>
          <w:p w:rsidR="00B05F10" w:rsidRPr="00B05F10" w:rsidRDefault="00B05F10" w:rsidP="00B05F10">
            <w:pPr>
              <w:jc w:val="both"/>
              <w:rPr>
                <w:rFonts w:ascii="Times New Roman" w:hAnsi="Times New Roman" w:cs="Times New Roman"/>
                <w:sz w:val="24"/>
              </w:rPr>
            </w:pPr>
            <w:r w:rsidRPr="00B05F10">
              <w:rPr>
                <w:rFonts w:ascii="Times New Roman" w:hAnsi="Times New Roman" w:cs="Times New Roman"/>
                <w:sz w:val="24"/>
              </w:rPr>
              <w:t xml:space="preserve">Общее состояние удовлетворительное. Кожа и видимые слизистые бледно-розовые. Сознание ясное. Головной боли, тошноты, рвоты нет. Зрение ясное. Пульс 98 уд. в мин. АД 120/70 </w:t>
            </w:r>
            <w:proofErr w:type="spellStart"/>
            <w:r w:rsidRPr="00B05F10">
              <w:rPr>
                <w:rFonts w:ascii="Times New Roman" w:hAnsi="Times New Roman" w:cs="Times New Roman"/>
                <w:sz w:val="24"/>
              </w:rPr>
              <w:t>мм.рт.ст</w:t>
            </w:r>
            <w:proofErr w:type="spellEnd"/>
            <w:r w:rsidRPr="00B05F10">
              <w:rPr>
                <w:rFonts w:ascii="Times New Roman" w:hAnsi="Times New Roman" w:cs="Times New Roman"/>
                <w:sz w:val="24"/>
              </w:rPr>
              <w:t xml:space="preserve">. на обеих руках. Живот мягкий, </w:t>
            </w:r>
            <w:proofErr w:type="spellStart"/>
            <w:r w:rsidRPr="00B05F10">
              <w:rPr>
                <w:rFonts w:ascii="Times New Roman" w:hAnsi="Times New Roman" w:cs="Times New Roman"/>
                <w:sz w:val="24"/>
              </w:rPr>
              <w:t>неувеличен</w:t>
            </w:r>
            <w:proofErr w:type="spellEnd"/>
            <w:r w:rsidRPr="00B05F10">
              <w:rPr>
                <w:rFonts w:ascii="Times New Roman" w:hAnsi="Times New Roman" w:cs="Times New Roman"/>
                <w:sz w:val="24"/>
              </w:rPr>
              <w:t xml:space="preserve"> в размерах, доступен пальпации во всех отделах, б/болезненный, нижний край печени у края реберной дуги.</w:t>
            </w:r>
          </w:p>
          <w:p w:rsidR="00B05F10" w:rsidRPr="00B05F10" w:rsidRDefault="00B05F10" w:rsidP="00B05F10">
            <w:pPr>
              <w:jc w:val="both"/>
              <w:rPr>
                <w:rFonts w:ascii="Times New Roman" w:hAnsi="Times New Roman" w:cs="Times New Roman"/>
                <w:sz w:val="24"/>
              </w:rPr>
            </w:pPr>
          </w:p>
          <w:p w:rsidR="00B05F10" w:rsidRPr="00B05F10" w:rsidRDefault="00B05F10" w:rsidP="00B05F10">
            <w:pPr>
              <w:jc w:val="both"/>
              <w:rPr>
                <w:rFonts w:ascii="Times New Roman" w:hAnsi="Times New Roman" w:cs="Times New Roman"/>
                <w:sz w:val="24"/>
              </w:rPr>
            </w:pPr>
            <w:r w:rsidRPr="00B05F10">
              <w:rPr>
                <w:rFonts w:ascii="Times New Roman" w:hAnsi="Times New Roman" w:cs="Times New Roman"/>
                <w:sz w:val="24"/>
              </w:rPr>
              <w:t>Мочеиспускание свободное, б/болезненное. Стул был. Диурез положительный.</w:t>
            </w:r>
          </w:p>
          <w:p w:rsidR="00B05F10" w:rsidRPr="00B05F10" w:rsidRDefault="00B05F10" w:rsidP="00B05F10">
            <w:pPr>
              <w:jc w:val="both"/>
              <w:rPr>
                <w:rFonts w:ascii="Times New Roman" w:hAnsi="Times New Roman" w:cs="Times New Roman"/>
                <w:sz w:val="24"/>
              </w:rPr>
            </w:pPr>
          </w:p>
          <w:p w:rsidR="00133FF7" w:rsidRDefault="00B05F10" w:rsidP="00133FF7">
            <w:pPr>
              <w:jc w:val="both"/>
              <w:rPr>
                <w:rFonts w:ascii="Times New Roman" w:hAnsi="Times New Roman" w:cs="Times New Roman"/>
                <w:sz w:val="24"/>
              </w:rPr>
            </w:pPr>
            <w:r w:rsidRPr="00B05F10">
              <w:rPr>
                <w:rFonts w:ascii="Times New Roman" w:hAnsi="Times New Roman" w:cs="Times New Roman"/>
                <w:sz w:val="24"/>
              </w:rPr>
              <w:t>Шейка</w:t>
            </w:r>
            <w:r w:rsidR="00133FF7">
              <w:rPr>
                <w:rFonts w:ascii="Times New Roman" w:hAnsi="Times New Roman" w:cs="Times New Roman"/>
                <w:sz w:val="24"/>
              </w:rPr>
              <w:t xml:space="preserve"> матки конической формы чистая.</w:t>
            </w:r>
          </w:p>
          <w:p w:rsidR="00133FF7" w:rsidRPr="00B05F10" w:rsidRDefault="00133FF7" w:rsidP="00133FF7">
            <w:pPr>
              <w:jc w:val="both"/>
              <w:rPr>
                <w:rFonts w:ascii="Times New Roman" w:hAnsi="Times New Roman" w:cs="Times New Roman"/>
                <w:sz w:val="24"/>
              </w:rPr>
            </w:pPr>
          </w:p>
          <w:p w:rsidR="009C5B35" w:rsidRPr="00AE3C99" w:rsidRDefault="00B05F10" w:rsidP="00133FF7">
            <w:pPr>
              <w:jc w:val="both"/>
              <w:rPr>
                <w:rFonts w:ascii="Times New Roman" w:hAnsi="Times New Roman" w:cs="Times New Roman"/>
                <w:sz w:val="24"/>
              </w:rPr>
            </w:pPr>
            <w:r w:rsidRPr="00B05F10">
              <w:rPr>
                <w:rFonts w:ascii="Times New Roman" w:hAnsi="Times New Roman" w:cs="Times New Roman"/>
                <w:sz w:val="24"/>
              </w:rPr>
              <w:t xml:space="preserve">Ц/канал закрыт. Придатки с обеих сторон без особенностей. </w:t>
            </w:r>
            <w:r w:rsidRPr="00AE3C99">
              <w:rPr>
                <w:rFonts w:ascii="Times New Roman" w:hAnsi="Times New Roman" w:cs="Times New Roman"/>
                <w:sz w:val="24"/>
              </w:rPr>
              <w:t>Стенки таза гладкие, своды глубокие.</w:t>
            </w:r>
          </w:p>
        </w:tc>
        <w:tc>
          <w:tcPr>
            <w:tcW w:w="4956" w:type="dxa"/>
          </w:tcPr>
          <w:p w:rsidR="009C5B35" w:rsidRPr="00AE3C99" w:rsidRDefault="009C5B35" w:rsidP="009C5B35">
            <w:pPr>
              <w:jc w:val="both"/>
              <w:rPr>
                <w:rFonts w:ascii="Times New Roman" w:hAnsi="Times New Roman" w:cs="Times New Roman"/>
                <w:sz w:val="24"/>
              </w:rPr>
            </w:pPr>
          </w:p>
        </w:tc>
      </w:tr>
    </w:tbl>
    <w:p w:rsidR="00B05F10" w:rsidRPr="00AE3C99" w:rsidRDefault="00B05F10" w:rsidP="009E7251">
      <w:pPr>
        <w:spacing w:after="0"/>
        <w:rPr>
          <w:rFonts w:ascii="Times New Roman" w:hAnsi="Times New Roman" w:cs="Times New Roman"/>
          <w:sz w:val="24"/>
        </w:rPr>
        <w:sectPr w:rsidR="00B05F10" w:rsidRPr="00AE3C99" w:rsidSect="008E4A2F">
          <w:pgSz w:w="11906" w:h="16838"/>
          <w:pgMar w:top="851" w:right="850" w:bottom="567" w:left="1134" w:header="708" w:footer="708" w:gutter="0"/>
          <w:cols w:space="708"/>
          <w:docGrid w:linePitch="360"/>
        </w:sectPr>
      </w:pPr>
    </w:p>
    <w:tbl>
      <w:tblPr>
        <w:tblStyle w:val="a3"/>
        <w:tblW w:w="0" w:type="auto"/>
        <w:tblLook w:val="04A0" w:firstRow="1" w:lastRow="0" w:firstColumn="1" w:lastColumn="0" w:noHBand="0" w:noVBand="1"/>
      </w:tblPr>
      <w:tblGrid>
        <w:gridCol w:w="4956"/>
        <w:gridCol w:w="4956"/>
      </w:tblGrid>
      <w:tr w:rsidR="00AE3C99" w:rsidRPr="00AE3C99" w:rsidTr="00AE3C99">
        <w:tc>
          <w:tcPr>
            <w:tcW w:w="4956" w:type="dxa"/>
            <w:vAlign w:val="center"/>
          </w:tcPr>
          <w:p w:rsidR="00AE3C99" w:rsidRPr="00AE3C99" w:rsidRDefault="00AE3C99" w:rsidP="00AE3C99">
            <w:pPr>
              <w:jc w:val="center"/>
              <w:rPr>
                <w:rFonts w:ascii="Times New Roman" w:hAnsi="Times New Roman" w:cs="Times New Roman"/>
                <w:b/>
                <w:sz w:val="24"/>
              </w:rPr>
            </w:pPr>
            <w:r>
              <w:rPr>
                <w:rFonts w:ascii="Times New Roman" w:hAnsi="Times New Roman" w:cs="Times New Roman"/>
                <w:b/>
                <w:sz w:val="24"/>
              </w:rPr>
              <w:lastRenderedPageBreak/>
              <w:t>Текст на английском языке</w:t>
            </w:r>
          </w:p>
        </w:tc>
        <w:tc>
          <w:tcPr>
            <w:tcW w:w="4956" w:type="dxa"/>
            <w:vAlign w:val="center"/>
          </w:tcPr>
          <w:p w:rsidR="00AE3C99" w:rsidRPr="00AE3C99" w:rsidRDefault="00AE3C99" w:rsidP="00AE3C99">
            <w:pPr>
              <w:jc w:val="center"/>
              <w:rPr>
                <w:rFonts w:ascii="Times New Roman" w:hAnsi="Times New Roman" w:cs="Times New Roman"/>
                <w:b/>
                <w:sz w:val="24"/>
              </w:rPr>
            </w:pPr>
            <w:r>
              <w:rPr>
                <w:rFonts w:ascii="Times New Roman" w:hAnsi="Times New Roman" w:cs="Times New Roman"/>
                <w:b/>
                <w:sz w:val="24"/>
              </w:rPr>
              <w:t>Перевод на русский язык</w:t>
            </w:r>
          </w:p>
        </w:tc>
      </w:tr>
      <w:tr w:rsidR="00AE3C99" w:rsidRPr="00C2733B" w:rsidTr="00AE3C99">
        <w:tc>
          <w:tcPr>
            <w:tcW w:w="4956" w:type="dxa"/>
          </w:tcPr>
          <w:p w:rsidR="00AE3C99" w:rsidRPr="00AE3C99" w:rsidRDefault="00AE3C99" w:rsidP="00AE3C99">
            <w:pPr>
              <w:rPr>
                <w:rFonts w:ascii="Times New Roman" w:hAnsi="Times New Roman" w:cs="Times New Roman"/>
                <w:sz w:val="24"/>
                <w:lang w:val="en-US"/>
              </w:rPr>
            </w:pPr>
            <w:r w:rsidRPr="00AE3C99">
              <w:rPr>
                <w:rFonts w:ascii="Times New Roman" w:hAnsi="Times New Roman" w:cs="Times New Roman"/>
                <w:sz w:val="24"/>
                <w:lang w:val="en-US"/>
              </w:rPr>
              <w:t>Local control is meant to be used during the setting-to-work phase of the System:</w:t>
            </w:r>
          </w:p>
          <w:p w:rsidR="00AE3C99" w:rsidRPr="00AE3C99" w:rsidRDefault="00AE3C99" w:rsidP="00AE3C99">
            <w:pPr>
              <w:numPr>
                <w:ilvl w:val="3"/>
                <w:numId w:val="1"/>
              </w:numPr>
              <w:rPr>
                <w:rFonts w:ascii="Times New Roman" w:hAnsi="Times New Roman" w:cs="Times New Roman"/>
                <w:sz w:val="24"/>
                <w:lang w:val="en-US"/>
              </w:rPr>
            </w:pPr>
            <w:r w:rsidRPr="00AE3C99">
              <w:rPr>
                <w:rFonts w:ascii="Times New Roman" w:hAnsi="Times New Roman" w:cs="Times New Roman"/>
                <w:sz w:val="24"/>
                <w:lang w:val="en-US"/>
              </w:rPr>
              <w:t xml:space="preserve">to </w:t>
            </w:r>
            <w:proofErr w:type="spellStart"/>
            <w:r w:rsidRPr="00AE3C99">
              <w:rPr>
                <w:rFonts w:ascii="Times New Roman" w:hAnsi="Times New Roman" w:cs="Times New Roman"/>
                <w:sz w:val="24"/>
                <w:lang w:val="en-US"/>
              </w:rPr>
              <w:t>manoeuvre</w:t>
            </w:r>
            <w:proofErr w:type="spellEnd"/>
            <w:r w:rsidRPr="00AE3C99">
              <w:rPr>
                <w:rFonts w:ascii="Times New Roman" w:hAnsi="Times New Roman" w:cs="Times New Roman"/>
                <w:sz w:val="24"/>
                <w:lang w:val="en-US"/>
              </w:rPr>
              <w:t xml:space="preserve"> the units into position</w:t>
            </w:r>
          </w:p>
          <w:p w:rsidR="00AE3C99" w:rsidRPr="00AE3C99" w:rsidRDefault="00AE3C99" w:rsidP="00AE3C99">
            <w:pPr>
              <w:numPr>
                <w:ilvl w:val="3"/>
                <w:numId w:val="1"/>
              </w:numPr>
              <w:rPr>
                <w:rFonts w:ascii="Times New Roman" w:hAnsi="Times New Roman" w:cs="Times New Roman"/>
                <w:sz w:val="24"/>
                <w:lang w:val="en-US"/>
              </w:rPr>
            </w:pPr>
            <w:r w:rsidRPr="00AE3C99">
              <w:rPr>
                <w:rFonts w:ascii="Times New Roman" w:hAnsi="Times New Roman" w:cs="Times New Roman"/>
                <w:sz w:val="24"/>
                <w:lang w:val="en-US"/>
              </w:rPr>
              <w:t>to put the booms in upright position</w:t>
            </w:r>
          </w:p>
          <w:p w:rsidR="00AE3C99" w:rsidRPr="00AE3C99" w:rsidRDefault="00AE3C99" w:rsidP="00AE3C99">
            <w:pPr>
              <w:numPr>
                <w:ilvl w:val="3"/>
                <w:numId w:val="1"/>
              </w:numPr>
              <w:rPr>
                <w:rFonts w:ascii="Times New Roman" w:hAnsi="Times New Roman" w:cs="Times New Roman"/>
                <w:sz w:val="24"/>
                <w:lang w:val="en-US"/>
              </w:rPr>
            </w:pPr>
            <w:r w:rsidRPr="00AE3C99">
              <w:rPr>
                <w:rFonts w:ascii="Times New Roman" w:hAnsi="Times New Roman" w:cs="Times New Roman"/>
                <w:sz w:val="24"/>
                <w:lang w:val="en-US"/>
              </w:rPr>
              <w:t xml:space="preserve">to </w:t>
            </w:r>
            <w:proofErr w:type="spellStart"/>
            <w:r w:rsidRPr="00AE3C99">
              <w:rPr>
                <w:rFonts w:ascii="Times New Roman" w:hAnsi="Times New Roman" w:cs="Times New Roman"/>
                <w:sz w:val="24"/>
                <w:lang w:val="en-US"/>
              </w:rPr>
              <w:t>manoeuvre</w:t>
            </w:r>
            <w:proofErr w:type="spellEnd"/>
            <w:r w:rsidRPr="00AE3C99">
              <w:rPr>
                <w:rFonts w:ascii="Times New Roman" w:hAnsi="Times New Roman" w:cs="Times New Roman"/>
                <w:sz w:val="24"/>
                <w:lang w:val="en-US"/>
              </w:rPr>
              <w:t xml:space="preserve"> the side shifts into position</w:t>
            </w:r>
          </w:p>
          <w:p w:rsidR="00AE3C99" w:rsidRPr="00AE3C99" w:rsidRDefault="00AE3C99" w:rsidP="00AE3C99">
            <w:pPr>
              <w:pStyle w:val="a4"/>
              <w:numPr>
                <w:ilvl w:val="0"/>
                <w:numId w:val="1"/>
              </w:numPr>
              <w:ind w:hanging="353"/>
              <w:rPr>
                <w:rFonts w:ascii="Times New Roman" w:hAnsi="Times New Roman" w:cs="Times New Roman"/>
                <w:sz w:val="24"/>
                <w:lang w:val="en-US"/>
              </w:rPr>
            </w:pPr>
            <w:r w:rsidRPr="00AE3C99">
              <w:rPr>
                <w:rFonts w:ascii="Times New Roman" w:hAnsi="Times New Roman" w:cs="Times New Roman"/>
                <w:sz w:val="24"/>
                <w:lang w:val="en-US"/>
              </w:rPr>
              <w:t>to set the moving directions of the unit and the side shift.</w:t>
            </w:r>
          </w:p>
          <w:p w:rsidR="00AE3C99" w:rsidRDefault="00AE3C99" w:rsidP="00AE3C99">
            <w:pPr>
              <w:rPr>
                <w:rFonts w:ascii="Times New Roman" w:hAnsi="Times New Roman" w:cs="Times New Roman"/>
                <w:sz w:val="24"/>
                <w:lang w:val="en-US"/>
              </w:rPr>
            </w:pPr>
          </w:p>
          <w:p w:rsidR="00AE3C99" w:rsidRDefault="00AE3C99" w:rsidP="00AE3C99">
            <w:pPr>
              <w:rPr>
                <w:rFonts w:ascii="Times New Roman" w:hAnsi="Times New Roman" w:cs="Times New Roman"/>
                <w:sz w:val="24"/>
                <w:lang w:val="en-US"/>
              </w:rPr>
            </w:pPr>
            <w:r w:rsidRPr="00AE3C99">
              <w:rPr>
                <w:rFonts w:ascii="Times New Roman" w:hAnsi="Times New Roman" w:cs="Times New Roman"/>
                <w:sz w:val="24"/>
                <w:lang w:val="en-US"/>
              </w:rPr>
              <w:t>Local control is useful during assembly of the machine. It may be used to put the individual units into the position.</w:t>
            </w:r>
          </w:p>
          <w:p w:rsidR="00AE3C99" w:rsidRDefault="00AE3C99" w:rsidP="00AE3C99">
            <w:pPr>
              <w:rPr>
                <w:rFonts w:ascii="Times New Roman" w:hAnsi="Times New Roman" w:cs="Times New Roman"/>
                <w:sz w:val="24"/>
                <w:lang w:val="en-US"/>
              </w:rPr>
            </w:pPr>
          </w:p>
          <w:p w:rsidR="00AE3C99" w:rsidRPr="00AE3C99" w:rsidRDefault="00AE3C99" w:rsidP="00AE3C99">
            <w:pPr>
              <w:rPr>
                <w:rFonts w:ascii="Times New Roman" w:hAnsi="Times New Roman" w:cs="Times New Roman"/>
                <w:sz w:val="24"/>
                <w:lang w:val="en-US"/>
              </w:rPr>
            </w:pPr>
            <w:r w:rsidRPr="00AE3C99">
              <w:rPr>
                <w:rFonts w:ascii="Times New Roman" w:hAnsi="Times New Roman" w:cs="Times New Roman"/>
                <w:sz w:val="24"/>
                <w:lang w:val="en-US"/>
              </w:rPr>
              <w:t xml:space="preserve">To perform manual </w:t>
            </w:r>
            <w:r w:rsidR="00E26E9A" w:rsidRPr="00AE3C99">
              <w:rPr>
                <w:rFonts w:ascii="Times New Roman" w:hAnsi="Times New Roman" w:cs="Times New Roman"/>
                <w:sz w:val="24"/>
                <w:lang w:val="en-US"/>
              </w:rPr>
              <w:t>control,</w:t>
            </w:r>
            <w:r w:rsidRPr="00AE3C99">
              <w:rPr>
                <w:rFonts w:ascii="Times New Roman" w:hAnsi="Times New Roman" w:cs="Times New Roman"/>
                <w:sz w:val="24"/>
                <w:lang w:val="en-US"/>
              </w:rPr>
              <w:t xml:space="preserve"> proceed as follows.</w:t>
            </w:r>
          </w:p>
          <w:p w:rsidR="00AE3C99" w:rsidRPr="00AE3C99" w:rsidRDefault="00AE3C99" w:rsidP="00AE3C99">
            <w:pPr>
              <w:rPr>
                <w:rFonts w:ascii="Times New Roman" w:hAnsi="Times New Roman" w:cs="Times New Roman"/>
                <w:sz w:val="24"/>
                <w:lang w:val="en-US"/>
              </w:rPr>
            </w:pPr>
            <w:r w:rsidRPr="00AE3C99">
              <w:rPr>
                <w:rFonts w:ascii="Times New Roman" w:hAnsi="Times New Roman" w:cs="Times New Roman"/>
                <w:sz w:val="24"/>
                <w:lang w:val="en-US"/>
              </w:rPr>
              <w:t>For the buttons, switches and indicators reference is made to 6.2.1 “The switches and indicators”.</w:t>
            </w:r>
          </w:p>
        </w:tc>
        <w:tc>
          <w:tcPr>
            <w:tcW w:w="4956" w:type="dxa"/>
          </w:tcPr>
          <w:p w:rsidR="00AE3C99" w:rsidRPr="00AE3C99" w:rsidRDefault="00AE3C99" w:rsidP="00AE3C99">
            <w:pPr>
              <w:rPr>
                <w:rFonts w:ascii="Times New Roman" w:hAnsi="Times New Roman" w:cs="Times New Roman"/>
                <w:sz w:val="24"/>
                <w:lang w:val="en-US"/>
              </w:rPr>
            </w:pPr>
          </w:p>
        </w:tc>
      </w:tr>
      <w:tr w:rsidR="00AE3C99" w:rsidRPr="00AE3C99" w:rsidTr="006F59D1">
        <w:tc>
          <w:tcPr>
            <w:tcW w:w="4956" w:type="dxa"/>
            <w:vAlign w:val="center"/>
          </w:tcPr>
          <w:p w:rsidR="00AE3C99" w:rsidRPr="006F59D1" w:rsidRDefault="006F59D1" w:rsidP="006F59D1">
            <w:pPr>
              <w:jc w:val="center"/>
              <w:rPr>
                <w:rFonts w:ascii="Times New Roman" w:hAnsi="Times New Roman" w:cs="Times New Roman"/>
                <w:b/>
                <w:sz w:val="24"/>
              </w:rPr>
            </w:pPr>
            <w:r>
              <w:rPr>
                <w:rFonts w:ascii="Times New Roman" w:hAnsi="Times New Roman" w:cs="Times New Roman"/>
                <w:b/>
                <w:sz w:val="24"/>
              </w:rPr>
              <w:t>Текст на русском языке</w:t>
            </w:r>
          </w:p>
        </w:tc>
        <w:tc>
          <w:tcPr>
            <w:tcW w:w="4956" w:type="dxa"/>
            <w:vAlign w:val="center"/>
          </w:tcPr>
          <w:p w:rsidR="00AE3C99" w:rsidRPr="006F59D1" w:rsidRDefault="006F59D1" w:rsidP="006F59D1">
            <w:pPr>
              <w:jc w:val="center"/>
              <w:rPr>
                <w:rFonts w:ascii="Times New Roman" w:hAnsi="Times New Roman" w:cs="Times New Roman"/>
                <w:b/>
                <w:sz w:val="24"/>
              </w:rPr>
            </w:pPr>
            <w:r>
              <w:rPr>
                <w:rFonts w:ascii="Times New Roman" w:hAnsi="Times New Roman" w:cs="Times New Roman"/>
                <w:b/>
                <w:sz w:val="24"/>
              </w:rPr>
              <w:t>Перевод на английский язык</w:t>
            </w:r>
          </w:p>
        </w:tc>
      </w:tr>
      <w:tr w:rsidR="00AE3C99" w:rsidRPr="006F59D1" w:rsidTr="00C2733B">
        <w:trPr>
          <w:trHeight w:val="6176"/>
        </w:trPr>
        <w:tc>
          <w:tcPr>
            <w:tcW w:w="4956" w:type="dxa"/>
          </w:tcPr>
          <w:p w:rsidR="00C2733B" w:rsidRPr="00C2733B" w:rsidRDefault="00C2733B" w:rsidP="00C2733B">
            <w:pPr>
              <w:jc w:val="both"/>
              <w:rPr>
                <w:rFonts w:ascii="Times New Roman" w:hAnsi="Times New Roman" w:cs="Times New Roman"/>
                <w:sz w:val="24"/>
              </w:rPr>
            </w:pPr>
            <w:r w:rsidRPr="00C2733B">
              <w:rPr>
                <w:rFonts w:ascii="Times New Roman" w:hAnsi="Times New Roman" w:cs="Times New Roman"/>
                <w:sz w:val="24"/>
              </w:rPr>
              <w:t>Классический этап. “</w:t>
            </w:r>
            <w:proofErr w:type="spellStart"/>
            <w:r w:rsidRPr="00C2733B">
              <w:rPr>
                <w:rFonts w:ascii="Times New Roman" w:hAnsi="Times New Roman" w:cs="Times New Roman"/>
                <w:sz w:val="24"/>
              </w:rPr>
              <w:t>Луньюй</w:t>
            </w:r>
            <w:proofErr w:type="spellEnd"/>
            <w:r w:rsidRPr="00C2733B">
              <w:rPr>
                <w:rFonts w:ascii="Times New Roman" w:hAnsi="Times New Roman" w:cs="Times New Roman"/>
                <w:sz w:val="24"/>
              </w:rPr>
              <w:t>” – первый памятник классической китайской литературы. Основные положения учения Конфуция.</w:t>
            </w:r>
          </w:p>
          <w:p w:rsidR="00C2733B" w:rsidRPr="00C2733B" w:rsidRDefault="00C2733B" w:rsidP="00C2733B">
            <w:pPr>
              <w:jc w:val="both"/>
              <w:rPr>
                <w:rFonts w:ascii="Times New Roman" w:hAnsi="Times New Roman" w:cs="Times New Roman"/>
                <w:sz w:val="24"/>
              </w:rPr>
            </w:pPr>
            <w:r w:rsidRPr="00C2733B">
              <w:rPr>
                <w:rFonts w:ascii="Times New Roman" w:hAnsi="Times New Roman" w:cs="Times New Roman"/>
                <w:sz w:val="24"/>
              </w:rPr>
              <w:t>“</w:t>
            </w:r>
            <w:proofErr w:type="spellStart"/>
            <w:r w:rsidRPr="00C2733B">
              <w:rPr>
                <w:rFonts w:ascii="Times New Roman" w:hAnsi="Times New Roman" w:cs="Times New Roman"/>
                <w:sz w:val="24"/>
              </w:rPr>
              <w:t>Даодэцзин</w:t>
            </w:r>
            <w:proofErr w:type="spellEnd"/>
            <w:r w:rsidRPr="00C2733B">
              <w:rPr>
                <w:rFonts w:ascii="Times New Roman" w:hAnsi="Times New Roman" w:cs="Times New Roman"/>
                <w:sz w:val="24"/>
              </w:rPr>
              <w:t xml:space="preserve">” – “Книга о Дао (Пути) и Дэ (свойствах человеческой натуры)” и ее автор </w:t>
            </w:r>
            <w:proofErr w:type="spellStart"/>
            <w:r w:rsidRPr="00C2733B">
              <w:rPr>
                <w:rFonts w:ascii="Times New Roman" w:hAnsi="Times New Roman" w:cs="Times New Roman"/>
                <w:sz w:val="24"/>
              </w:rPr>
              <w:t>Лао-цзы</w:t>
            </w:r>
            <w:proofErr w:type="spellEnd"/>
            <w:r w:rsidRPr="00C2733B">
              <w:rPr>
                <w:rFonts w:ascii="Times New Roman" w:hAnsi="Times New Roman" w:cs="Times New Roman"/>
                <w:sz w:val="24"/>
              </w:rPr>
              <w:t>. Поэтические особенности “</w:t>
            </w:r>
            <w:proofErr w:type="spellStart"/>
            <w:r w:rsidRPr="00C2733B">
              <w:rPr>
                <w:rFonts w:ascii="Times New Roman" w:hAnsi="Times New Roman" w:cs="Times New Roman"/>
                <w:sz w:val="24"/>
              </w:rPr>
              <w:t>Даодэцзин</w:t>
            </w:r>
            <w:proofErr w:type="spellEnd"/>
            <w:r w:rsidRPr="00C2733B">
              <w:rPr>
                <w:rFonts w:ascii="Times New Roman" w:hAnsi="Times New Roman" w:cs="Times New Roman"/>
                <w:sz w:val="24"/>
              </w:rPr>
              <w:t xml:space="preserve">” и его философское </w:t>
            </w:r>
            <w:proofErr w:type="spellStart"/>
            <w:r w:rsidRPr="00C2733B">
              <w:rPr>
                <w:rFonts w:ascii="Times New Roman" w:hAnsi="Times New Roman" w:cs="Times New Roman"/>
                <w:sz w:val="24"/>
              </w:rPr>
              <w:t>содаржание</w:t>
            </w:r>
            <w:proofErr w:type="spellEnd"/>
            <w:r w:rsidRPr="00C2733B">
              <w:rPr>
                <w:rFonts w:ascii="Times New Roman" w:hAnsi="Times New Roman" w:cs="Times New Roman"/>
                <w:sz w:val="24"/>
              </w:rPr>
              <w:t>.</w:t>
            </w:r>
          </w:p>
          <w:p w:rsidR="00C2733B" w:rsidRPr="00C2733B" w:rsidRDefault="00C2733B" w:rsidP="00C2733B">
            <w:pPr>
              <w:jc w:val="both"/>
              <w:rPr>
                <w:rFonts w:ascii="Times New Roman" w:hAnsi="Times New Roman" w:cs="Times New Roman"/>
                <w:sz w:val="24"/>
              </w:rPr>
            </w:pPr>
            <w:r w:rsidRPr="00C2733B">
              <w:rPr>
                <w:rFonts w:ascii="Times New Roman" w:hAnsi="Times New Roman" w:cs="Times New Roman"/>
                <w:sz w:val="24"/>
              </w:rPr>
              <w:t>Конфуцианство и даосизм как два направления общественной и философской мысли древнего Китая. Их окончательное оформление в “Мэн-</w:t>
            </w:r>
            <w:proofErr w:type="spellStart"/>
            <w:r w:rsidRPr="00C2733B">
              <w:rPr>
                <w:rFonts w:ascii="Times New Roman" w:hAnsi="Times New Roman" w:cs="Times New Roman"/>
                <w:sz w:val="24"/>
              </w:rPr>
              <w:t>цзы</w:t>
            </w:r>
            <w:proofErr w:type="spellEnd"/>
            <w:r w:rsidRPr="00C2733B">
              <w:rPr>
                <w:rFonts w:ascii="Times New Roman" w:hAnsi="Times New Roman" w:cs="Times New Roman"/>
                <w:sz w:val="24"/>
              </w:rPr>
              <w:t>”, “Сунь-</w:t>
            </w:r>
            <w:proofErr w:type="spellStart"/>
            <w:r w:rsidRPr="00C2733B">
              <w:rPr>
                <w:rFonts w:ascii="Times New Roman" w:hAnsi="Times New Roman" w:cs="Times New Roman"/>
                <w:sz w:val="24"/>
              </w:rPr>
              <w:t>цзы</w:t>
            </w:r>
            <w:proofErr w:type="spellEnd"/>
            <w:r w:rsidRPr="00C2733B">
              <w:rPr>
                <w:rFonts w:ascii="Times New Roman" w:hAnsi="Times New Roman" w:cs="Times New Roman"/>
                <w:sz w:val="24"/>
              </w:rPr>
              <w:t>”, “</w:t>
            </w:r>
            <w:proofErr w:type="spellStart"/>
            <w:r w:rsidRPr="00C2733B">
              <w:rPr>
                <w:rFonts w:ascii="Times New Roman" w:hAnsi="Times New Roman" w:cs="Times New Roman"/>
                <w:sz w:val="24"/>
              </w:rPr>
              <w:t>Ле-цзы</w:t>
            </w:r>
            <w:proofErr w:type="spellEnd"/>
            <w:r w:rsidRPr="00C2733B">
              <w:rPr>
                <w:rFonts w:ascii="Times New Roman" w:hAnsi="Times New Roman" w:cs="Times New Roman"/>
                <w:sz w:val="24"/>
              </w:rPr>
              <w:t>”, “</w:t>
            </w:r>
            <w:proofErr w:type="spellStart"/>
            <w:r w:rsidRPr="00C2733B">
              <w:rPr>
                <w:rFonts w:ascii="Times New Roman" w:hAnsi="Times New Roman" w:cs="Times New Roman"/>
                <w:sz w:val="24"/>
              </w:rPr>
              <w:t>Чжуан-цзы</w:t>
            </w:r>
            <w:proofErr w:type="spellEnd"/>
            <w:r w:rsidRPr="00C2733B">
              <w:rPr>
                <w:rFonts w:ascii="Times New Roman" w:hAnsi="Times New Roman" w:cs="Times New Roman"/>
                <w:sz w:val="24"/>
              </w:rPr>
              <w:t>”.</w:t>
            </w:r>
          </w:p>
          <w:p w:rsidR="00C2733B" w:rsidRPr="00C2733B" w:rsidRDefault="00C2733B" w:rsidP="00C2733B">
            <w:pPr>
              <w:jc w:val="both"/>
              <w:rPr>
                <w:rFonts w:ascii="Times New Roman" w:hAnsi="Times New Roman" w:cs="Times New Roman"/>
                <w:sz w:val="24"/>
              </w:rPr>
            </w:pPr>
            <w:proofErr w:type="spellStart"/>
            <w:r w:rsidRPr="00C2733B">
              <w:rPr>
                <w:rFonts w:ascii="Times New Roman" w:hAnsi="Times New Roman" w:cs="Times New Roman"/>
                <w:sz w:val="24"/>
              </w:rPr>
              <w:t>Цюй</w:t>
            </w:r>
            <w:proofErr w:type="spellEnd"/>
            <w:r w:rsidRPr="00C2733B">
              <w:rPr>
                <w:rFonts w:ascii="Times New Roman" w:hAnsi="Times New Roman" w:cs="Times New Roman"/>
                <w:sz w:val="24"/>
              </w:rPr>
              <w:t>-Юань и его “</w:t>
            </w:r>
            <w:proofErr w:type="spellStart"/>
            <w:r w:rsidRPr="00C2733B">
              <w:rPr>
                <w:rFonts w:ascii="Times New Roman" w:hAnsi="Times New Roman" w:cs="Times New Roman"/>
                <w:sz w:val="24"/>
              </w:rPr>
              <w:t>Лисао</w:t>
            </w:r>
            <w:proofErr w:type="spellEnd"/>
            <w:r w:rsidRPr="00C2733B">
              <w:rPr>
                <w:rFonts w:ascii="Times New Roman" w:hAnsi="Times New Roman" w:cs="Times New Roman"/>
                <w:sz w:val="24"/>
              </w:rPr>
              <w:t>” (“Поэме скорби”). Превращение фольклора</w:t>
            </w:r>
            <w:bookmarkStart w:id="0" w:name="_GoBack"/>
            <w:bookmarkEnd w:id="0"/>
            <w:r w:rsidRPr="00C2733B">
              <w:rPr>
                <w:rFonts w:ascii="Times New Roman" w:hAnsi="Times New Roman" w:cs="Times New Roman"/>
                <w:sz w:val="24"/>
              </w:rPr>
              <w:t xml:space="preserve"> в литературу, возникновение лирической поэмы. “Думы” и “Заклинания души </w:t>
            </w:r>
            <w:proofErr w:type="spellStart"/>
            <w:r w:rsidRPr="00C2733B">
              <w:rPr>
                <w:rFonts w:ascii="Times New Roman" w:hAnsi="Times New Roman" w:cs="Times New Roman"/>
                <w:sz w:val="24"/>
              </w:rPr>
              <w:t>Сун</w:t>
            </w:r>
            <w:proofErr w:type="spellEnd"/>
            <w:r w:rsidRPr="00C2733B">
              <w:rPr>
                <w:rFonts w:ascii="Times New Roman" w:hAnsi="Times New Roman" w:cs="Times New Roman"/>
                <w:sz w:val="24"/>
              </w:rPr>
              <w:t xml:space="preserve">- </w:t>
            </w:r>
            <w:proofErr w:type="spellStart"/>
            <w:r w:rsidRPr="00C2733B">
              <w:rPr>
                <w:rFonts w:ascii="Times New Roman" w:hAnsi="Times New Roman" w:cs="Times New Roman"/>
                <w:sz w:val="24"/>
              </w:rPr>
              <w:t>Юя</w:t>
            </w:r>
            <w:proofErr w:type="spellEnd"/>
            <w:r w:rsidRPr="00C2733B">
              <w:rPr>
                <w:rFonts w:ascii="Times New Roman" w:hAnsi="Times New Roman" w:cs="Times New Roman"/>
                <w:sz w:val="24"/>
              </w:rPr>
              <w:t>”. Тонкое чувство природы, образ осени.</w:t>
            </w:r>
          </w:p>
          <w:p w:rsidR="00AE3C99" w:rsidRPr="006F59D1" w:rsidRDefault="00C2733B" w:rsidP="00C2733B">
            <w:pPr>
              <w:jc w:val="both"/>
              <w:rPr>
                <w:rFonts w:ascii="Times New Roman" w:hAnsi="Times New Roman" w:cs="Times New Roman"/>
                <w:sz w:val="24"/>
              </w:rPr>
            </w:pPr>
            <w:proofErr w:type="spellStart"/>
            <w:r w:rsidRPr="00C2733B">
              <w:rPr>
                <w:rFonts w:ascii="Times New Roman" w:hAnsi="Times New Roman" w:cs="Times New Roman"/>
                <w:sz w:val="24"/>
              </w:rPr>
              <w:t>Сыма</w:t>
            </w:r>
            <w:proofErr w:type="spellEnd"/>
            <w:r w:rsidRPr="00C2733B">
              <w:rPr>
                <w:rFonts w:ascii="Times New Roman" w:hAnsi="Times New Roman" w:cs="Times New Roman"/>
                <w:sz w:val="24"/>
              </w:rPr>
              <w:t xml:space="preserve"> </w:t>
            </w:r>
            <w:proofErr w:type="spellStart"/>
            <w:r w:rsidRPr="00C2733B">
              <w:rPr>
                <w:rFonts w:ascii="Times New Roman" w:hAnsi="Times New Roman" w:cs="Times New Roman"/>
                <w:sz w:val="24"/>
              </w:rPr>
              <w:t>Сян-жу</w:t>
            </w:r>
            <w:proofErr w:type="spellEnd"/>
            <w:r w:rsidRPr="00C2733B">
              <w:rPr>
                <w:rFonts w:ascii="Times New Roman" w:hAnsi="Times New Roman" w:cs="Times New Roman"/>
                <w:sz w:val="24"/>
              </w:rPr>
              <w:t xml:space="preserve"> – один из блестящих представителей литературы Империи и его поэмы (“Поэма о </w:t>
            </w:r>
            <w:proofErr w:type="spellStart"/>
            <w:r w:rsidRPr="00C2733B">
              <w:rPr>
                <w:rFonts w:ascii="Times New Roman" w:hAnsi="Times New Roman" w:cs="Times New Roman"/>
                <w:sz w:val="24"/>
              </w:rPr>
              <w:t>Цзы-сюе</w:t>
            </w:r>
            <w:proofErr w:type="spellEnd"/>
            <w:r w:rsidRPr="00C2733B">
              <w:rPr>
                <w:rFonts w:ascii="Times New Roman" w:hAnsi="Times New Roman" w:cs="Times New Roman"/>
                <w:sz w:val="24"/>
              </w:rPr>
              <w:t>”, “Императорская охота”).</w:t>
            </w:r>
          </w:p>
        </w:tc>
        <w:tc>
          <w:tcPr>
            <w:tcW w:w="4956" w:type="dxa"/>
          </w:tcPr>
          <w:p w:rsidR="00AE3C99" w:rsidRPr="006F59D1" w:rsidRDefault="00AE3C99" w:rsidP="006F59D1">
            <w:pPr>
              <w:jc w:val="both"/>
              <w:rPr>
                <w:rFonts w:ascii="Times New Roman" w:hAnsi="Times New Roman" w:cs="Times New Roman"/>
                <w:sz w:val="24"/>
              </w:rPr>
            </w:pPr>
          </w:p>
        </w:tc>
      </w:tr>
    </w:tbl>
    <w:p w:rsidR="008E4A2F" w:rsidRPr="006F59D1" w:rsidRDefault="008E4A2F" w:rsidP="009E7251">
      <w:pPr>
        <w:spacing w:after="0"/>
        <w:rPr>
          <w:rFonts w:ascii="Times New Roman" w:hAnsi="Times New Roman" w:cs="Times New Roman"/>
          <w:sz w:val="24"/>
        </w:rPr>
      </w:pPr>
    </w:p>
    <w:sectPr w:rsidR="008E4A2F" w:rsidRPr="006F59D1" w:rsidSect="008E4A2F">
      <w:pgSz w:w="11906" w:h="16838"/>
      <w:pgMar w:top="851"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7807"/>
    <w:multiLevelType w:val="multilevel"/>
    <w:tmpl w:val="337448C6"/>
    <w:lvl w:ilvl="0">
      <w:start w:val="1"/>
      <w:numFmt w:val="bullet"/>
      <w:lvlText w:val=""/>
      <w:lvlJc w:val="left"/>
      <w:pPr>
        <w:ind w:left="942" w:hanging="707"/>
        <w:jc w:val="left"/>
      </w:pPr>
      <w:rPr>
        <w:rFonts w:ascii="Symbol" w:hAnsi="Symbol" w:hint="default"/>
        <w:lang w:val="en-US" w:eastAsia="en-US" w:bidi="ar-SA"/>
      </w:rPr>
    </w:lvl>
    <w:lvl w:ilvl="1">
      <w:start w:val="2"/>
      <w:numFmt w:val="decimal"/>
      <w:lvlText w:val="%1.%2"/>
      <w:lvlJc w:val="left"/>
      <w:pPr>
        <w:ind w:left="942" w:hanging="707"/>
        <w:jc w:val="left"/>
      </w:pPr>
      <w:rPr>
        <w:rFonts w:hint="default"/>
        <w:lang w:val="en-US" w:eastAsia="en-US" w:bidi="ar-SA"/>
      </w:rPr>
    </w:lvl>
    <w:lvl w:ilvl="2">
      <w:start w:val="1"/>
      <w:numFmt w:val="decimal"/>
      <w:lvlText w:val="%1.%2.%3."/>
      <w:lvlJc w:val="left"/>
      <w:pPr>
        <w:ind w:left="942" w:hanging="707"/>
        <w:jc w:val="left"/>
      </w:pPr>
      <w:rPr>
        <w:rFonts w:ascii="Arial" w:eastAsia="Arial" w:hAnsi="Arial" w:cs="Arial" w:hint="default"/>
        <w:b/>
        <w:bCs/>
        <w:spacing w:val="-29"/>
        <w:w w:val="99"/>
        <w:sz w:val="24"/>
        <w:szCs w:val="24"/>
        <w:lang w:val="en-US" w:eastAsia="en-US" w:bidi="ar-SA"/>
      </w:rPr>
    </w:lvl>
    <w:lvl w:ilvl="3">
      <w:numFmt w:val="bullet"/>
      <w:lvlText w:val=""/>
      <w:lvlJc w:val="left"/>
      <w:pPr>
        <w:ind w:left="957" w:hanging="360"/>
      </w:pPr>
      <w:rPr>
        <w:rFonts w:ascii="Symbol" w:eastAsia="Symbol" w:hAnsi="Symbol" w:cs="Symbol" w:hint="default"/>
        <w:w w:val="100"/>
        <w:sz w:val="22"/>
        <w:szCs w:val="22"/>
        <w:lang w:val="en-US" w:eastAsia="en-US" w:bidi="ar-SA"/>
      </w:rPr>
    </w:lvl>
    <w:lvl w:ilvl="4">
      <w:numFmt w:val="bullet"/>
      <w:lvlText w:val=""/>
      <w:lvlJc w:val="left"/>
      <w:pPr>
        <w:ind w:left="1089" w:hanging="360"/>
      </w:pPr>
      <w:rPr>
        <w:rFonts w:ascii="Symbol" w:eastAsia="Symbol" w:hAnsi="Symbol" w:cs="Symbol" w:hint="default"/>
        <w:w w:val="100"/>
        <w:sz w:val="22"/>
        <w:szCs w:val="22"/>
        <w:lang w:val="en-US" w:eastAsia="en-US" w:bidi="ar-SA"/>
      </w:rPr>
    </w:lvl>
    <w:lvl w:ilvl="5">
      <w:numFmt w:val="bullet"/>
      <w:lvlText w:val="•"/>
      <w:lvlJc w:val="left"/>
      <w:pPr>
        <w:ind w:left="4316" w:hanging="360"/>
      </w:pPr>
      <w:rPr>
        <w:rFonts w:hint="default"/>
        <w:lang w:val="en-US" w:eastAsia="en-US" w:bidi="ar-SA"/>
      </w:rPr>
    </w:lvl>
    <w:lvl w:ilvl="6">
      <w:numFmt w:val="bullet"/>
      <w:lvlText w:val="•"/>
      <w:lvlJc w:val="left"/>
      <w:pPr>
        <w:ind w:left="5395" w:hanging="360"/>
      </w:pPr>
      <w:rPr>
        <w:rFonts w:hint="default"/>
        <w:lang w:val="en-US" w:eastAsia="en-US" w:bidi="ar-SA"/>
      </w:rPr>
    </w:lvl>
    <w:lvl w:ilvl="7">
      <w:numFmt w:val="bullet"/>
      <w:lvlText w:val="•"/>
      <w:lvlJc w:val="left"/>
      <w:pPr>
        <w:ind w:left="6474" w:hanging="360"/>
      </w:pPr>
      <w:rPr>
        <w:rFonts w:hint="default"/>
        <w:lang w:val="en-US" w:eastAsia="en-US" w:bidi="ar-SA"/>
      </w:rPr>
    </w:lvl>
    <w:lvl w:ilvl="8">
      <w:numFmt w:val="bullet"/>
      <w:lvlText w:val="•"/>
      <w:lvlJc w:val="left"/>
      <w:pPr>
        <w:ind w:left="7553"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BF1"/>
    <w:rsid w:val="00133FF7"/>
    <w:rsid w:val="001917F6"/>
    <w:rsid w:val="00247A05"/>
    <w:rsid w:val="00337B58"/>
    <w:rsid w:val="003465A9"/>
    <w:rsid w:val="006F59D1"/>
    <w:rsid w:val="008E4A2F"/>
    <w:rsid w:val="009C5B35"/>
    <w:rsid w:val="009E7251"/>
    <w:rsid w:val="00A53BF1"/>
    <w:rsid w:val="00AE3C99"/>
    <w:rsid w:val="00B05F10"/>
    <w:rsid w:val="00C2733B"/>
    <w:rsid w:val="00D16A01"/>
    <w:rsid w:val="00D56B92"/>
    <w:rsid w:val="00E26E9A"/>
    <w:rsid w:val="00E61A65"/>
    <w:rsid w:val="00EF1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FCA65-0FA8-4DAF-BFE9-F6A15F91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7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3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730</Words>
  <Characters>4166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dcterms:created xsi:type="dcterms:W3CDTF">2020-03-04T09:14:00Z</dcterms:created>
  <dcterms:modified xsi:type="dcterms:W3CDTF">2021-03-26T10:25:00Z</dcterms:modified>
</cp:coreProperties>
</file>